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BG.2024.21 vom 30. Juli 2024</w:t>
      </w:r>
    </w:p>
    <w:p>
      <w:r>
        <w:t>Bundesstrafgericht, 2024-07-30, DE</w:t>
      </w:r>
    </w:p>
    <w:p>
      <w:r>
        <w:rPr>
          <w:b/>
        </w:rPr>
        <w:t xml:space="preserve">Quelle: </w:t>
      </w:r>
      <w:r>
        <w:t>https://mcp.opencaselaw.ch/entscheid/bstger_BG.2024.21</w:t>
      </w:r>
    </w:p>
    <w:p>
      <w:r>
        <w:t>FR: TPF BG.2024.21 du 30 juillet 2024</w:t>
      </w:r>
    </w:p>
    <w:p>
      <w:r>
        <w:t>IT: TPF BG.2024.21 del 30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Kantonen ein Meinungsaustausch durchgeführt wurde (Beschluss des Bun- desstrafgerichts BG.2013.32 vom 27. Februar 2014 E. 1.1 und 2.3; SCHWERI/BÄNZIGER, Interkantonale Gerichtsstandsbestimmung in Strafsa- chen, 2. Aufl. 2004, N. 599). Hinsichtlich der Frist, innerhalb welcher die er- suchende Behörde ihr Gesuch einzureichen hat, ist im Normalfall die Frist von zehn Tagen gemäss Art. 396 Abs. 1 StPO analog anzuwenden (TPF 2011 94 E. 2.2). Ein Abweichen von dieser Frist ist ausnahmsweise in begründeten Fällen zulässig, so zum Beispiel, wenn die schriftliche Stellung- nahme des ersuchten Kantons noch Verhandlungsspielraum bietet, der Fall aufgrund noch unklarer Faktenlage weiterer Erörterung bedarf oder aber während laufender Frist neue Fakten bekannt werden (Beschluss des Bun- desstrafgerichts BG.2012.20 vom 12. März 2014 E. 1.4; SCHLEGEL, Zürcher Kommentar, 3. Aufl. 2020, N. 6 zu Art. 40 StPO).</w:t>
      </w:r>
    </w:p>
    <w:p>
      <w:r>
        <w:t>- 5 -</w:t>
      </w:r>
    </w:p>
    <w:p>
      <w:r>
        <w:rPr>
          <w:b/>
        </w:rPr>
        <w:t>E. 1.2</w:t>
      </w:r>
    </w:p>
    <w:p>
      <w:r>
        <w:t>Gemäss § 46 Abs. 4 des Gesetzes über die Organisation der Zivil- und Straf- rechtspflege (Gerichtsorganisationsgesetz, GOG, vom 26. August 2010; BGS 161.1) ist die Leitende Oberstaatsanwältin oder der Leitende Ober- staatsanwalt berechtigt, den Gesuchsteller bei interkantonalen Gerichts- standskonflikten vor der Beschwerdekammer des Bundesstrafgerichts zu vertreten. Bezüglich des Gesuchsgegners steht diese Befugnis der Ober- staatsanwaltschaft des Kantons Luzern zu (vgl. § 4 der Verordnung über die Staatsanwaltschaft des Kantons Luzern vom 14. Dezember 2010 [SRL Nr. 275]).</w:t>
      </w:r>
    </w:p>
    <w:p>
      <w:r>
        <w:rPr>
          <w:b/>
        </w:rPr>
        <w:t>E. 1.3</w:t>
      </w:r>
    </w:p>
    <w:p>
      <w:r>
        <w:t>Wie der Darstellung des Sachverhalts zu entnehmen ist (vgl. supra lit. E.), erhielt der Gesuchsteller am 6. März 2024 die negativ ausfallende Stellung- nahme der auf Seiten des Gesuchsgegners zuständigen Behörde betreffend die Gerichtsstandsanfrage vom 2. Februar 2024. Aufgrund dieser Stellung- nahme musste davon ausgegangen werden, dass sich die Strafverfolgungs- behörden der beiden betroffenen Kantone über den Gerichtsstand nicht hat- ten einigen können. Zu jenem Zeitpunkt begann demzufolge die Frist von zehn Tagen zu laufen, weshalb sich die Einreichung des Gesuchs vom 30. April 2024 als verspätet erweist. Daran ändert auch nichts, dass der Ge- suchsteller mehr als vier Wochen nach der ablehnenden Stellungnahme des Gesuchsgegners am 4. April 2024 erneut an diesen gelangt ist. Diese an den Gesuchsgegner gerichtete Anfrage um Verfahrensübernahme ist im vorlie- genden Fall für den Beginn des Fristenlaufes nicht ausschlaggebend bzw. vermochte die laufende Frist nicht zu unterbrechen, nachdem die Position der zuständigen Behörden auf Seiten des Gesuchsgegners in ihrer ersten Stellungnahme bereits eindeutig und abschliessend war. Anders zu ent- scheiden wäre die Frage unter Umständen in Fällen, wo die schriftliche Stel- lungnahme des Gesuchsgegners noch Verhandlungsspielraum bietet, der Fall aufgrund noch unklarer Faktenlage weiterer Erörterung bedarf oder aber während laufender Frist neue Fakten bekannt werden, welche die Beurtei- lung der Gerichtsstandsfrage wesentlich beeinflussen (vgl. Beschlüsse des Bundesstrafgerichts BG.2012.20 vom 27. Juni 2012 E. 1.3; BG.2012.50 vom 11. Januar 2013 E. 1.3). Vorliegend geht aus den Akten nicht hervor, dass eine derartige Ausnahmesituation vorliegen würde. So hat denn auch der Gesuchsteller in seiner zweiten Anfrage vom 4. April 2024 im Wesentlichen die genau gleichen Argumente vorgebracht wie bereits in seiner ersten An- frage vom 2. Februar 2024. Damit ist auf die Eingabe des Gesuchstellers nach dem Gesagten gemäss der obgenannten Praxis nicht einzutreten.</w:t>
      </w:r>
    </w:p>
    <w:p>
      <w:r>
        <w:rPr>
          <w:b/>
        </w:rPr>
        <w:t>E. 1.4</w:t>
      </w:r>
    </w:p>
    <w:p>
      <w:r>
        <w:t>Darüber hinaus ist auf Folgendes hinzuweisen: Unter den Parteien ist unbe- stritten, dass das den Beschuldigten C. und D. vorgeworfene Handeln unter den Tatbestand des Betruges (Art. 146 StGB) zu subsumieren ist. Der</w:t>
      </w:r>
    </w:p>
    <w:p>
      <w:r>
        <w:t>- 6 -</w:t>
      </w:r>
    </w:p>
    <w:p>
      <w:r>
        <w:t>Gesuchsgegner ist ferner der Ansicht, den Beschuldigten sei zudem Urkun- denfälschung (Art. 251 StGB), welche der gleichen Strafandrohung wie Be- trug unterliegt, vorzuwerfen. Begehungsort ist primär der Ausführungsort, d.h. der Ort, an dem der Beschuldigte selbst aktiv gehandelt hat (BARTETZKO, Basler Kommentar, 3. Aufl. 2023, N. 9 zu Art. 31 StPO). Der Tatbestand des Betrugs gilt als dort verübt, wo der Täter jemanden durch Vorspiegelung oder Unterdrückung von Tatsachen zu einem Verhalten bestimmt, das den sich Irrenden oder einen Dritten am Vermögen schädigt (SCHWERI/BÄNZIGER, a.a.O., N. 106). Eine Urkundenfälschung gilt als an dem Ort ausgeführt, wo die Bestätigung geschrieben und unterzeichnet wurde (Beschluss des Bun- desstrafgerichts BG.2011.44 vom 5. Dezember 2011 E. 2.2, mit Hinweis auf BGE 122 IV 162 E. 5). Unabhängig von der Frage, ob vorliegend die Tatbe- standsmerkmale der Urkundenfälschung im Sinne von Art. 251 StGB erfüllt sein könnten, ist festzuhalten, dass den Beschuldigten unter anderem vor- geworfen wird, unter Vorlage von gefälschten Lieferscheinen und Lizenzer- klärungen der E. GmbH, A. bzw. die B. AG dazu veranlasst zu haben, C. und D. Darlehen von mehreren hunderttausend Franken gewährt zu haben. Dass die mutmasslich gefälschten Lieferscheine und Lizenzerklärungen am Sitz der E. GmbH in Zug erstellt worden sind, erscheint als unwahrscheinlich, da die Domiziladresse an der X.-Strasse in Zug lediglich als Zustelladresse ge- dient haben soll (vgl. supra lit. C). Es ist nicht auszuschliessen, dass C. die Dokumente an seinem Wohnort, an der W.-Strasse in 8002 Zürich, erstellt hat. Ein Meinungsaustausch mit dem Kanton Zürich hinsichtlich der im Kan- ton Luzern beanzeigten Delikte hat jedoch nicht stattgefunden. Ebenso we- nig hat ein Meinungsaustausch mit dem Kanton Obwalden stattgefunden. Dies hätte sich jedoch insofern aufgedrängt, als den Akten zufolge der Dar- lehensvertrag vom 24. März 2023 in Sarnen/OW unterzeichnet worden ist. Entsprechend ist der Meinungsaustausch nicht vollständig durchgeführt wor- den, weshalb auch aus diesem Grund auf das Gesuch nicht einzutreten wäre.</w:t>
      </w:r>
    </w:p>
    <w:p>
      <w:r>
        <w:rPr>
          <w:b/>
        </w:rPr>
        <w:t>E. 2</w:t>
      </w:r>
    </w:p>
    <w:p>
      <w:r>
        <w:t>Praxisgemäss ist bei interkantonalen Gerichtsstandskonflikten keine Ge- richtsgebühr zu erheben (vgl. TPF 2023 130 E. 5.1 m.w.H.).</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