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BG.2024.14 vom 23. April 2024</w:t>
      </w:r>
    </w:p>
    <w:p>
      <w:r>
        <w:t>Bundesstrafgericht, 2024-04-23, DE</w:t>
      </w:r>
    </w:p>
    <w:p>
      <w:r>
        <w:rPr>
          <w:b/>
        </w:rPr>
        <w:t xml:space="preserve">Quelle: </w:t>
      </w:r>
      <w:r>
        <w:t>https://mcp.opencaselaw.ch/entscheid/bstger_BG.2024.14</w:t>
      </w:r>
    </w:p>
    <w:p>
      <w:r>
        <w:t>FR: TPF BG.2024.14 du 23 avril 2024</w:t>
      </w:r>
    </w:p>
    <w:p>
      <w:r>
        <w:t>IT: TPF BG.2024.14 del 23 aprile 2024</w:t>
      </w:r>
    </w:p>
    <w:p>
      <w:pPr>
        <w:pStyle w:val="Heading2"/>
      </w:pPr>
      <w:r>
        <w:t>Regeste</w:t>
      </w:r>
    </w:p>
    <w:p>
      <w:r>
        <w:t>Gerichtsstandskonflikt (Art. 40 Abs. 2 StPO)</w:t>
      </w:r>
    </w:p>
    <w:p>
      <w:pPr>
        <w:pStyle w:val="Heading2"/>
      </w:pPr>
      <w:r>
        <w:t>Erwägungen</w:t>
      </w:r>
    </w:p>
    <w:p>
      <w:r>
        <w:rPr>
          <w:b/>
        </w:rPr>
        <w:t>E. 24</w:t>
      </w:r>
    </w:p>
    <w:p>
      <w:r>
        <w:t>Januar 2023; BG.2021.48 vom 7. September 2021; BG.2020.40 vom</w:t>
      </w:r>
    </w:p>
    <w:p>
      <w:r>
        <w:rPr>
          <w:b/>
        </w:rPr>
        <w:t>E. 29</w:t>
      </w:r>
    </w:p>
    <w:p>
      <w:r>
        <w:t>September 2020);</w:t>
      </w:r>
    </w:p>
    <w:p>
      <w:r>
        <w:t>- bei interkantonalen Gerichtsstandskonflikten grundsätzlich keine Gerichts- gebühr zu erheben ist (vgl. Art. 423 Abs. 1 StPO i.V.m. Art. 66 Abs. 4 BGG per analogiam; vgl. schon BGE 87 IV 144; TPF BG.2022.51 vom 22. Juni 2023 E. 5.1, zur Publikation vorgesehen);</w:t>
      </w:r>
    </w:p>
    <w:p>
      <w:r>
        <w:t>- 3 -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