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BG.2024.13 vom 19. September 2024</w:t>
      </w:r>
    </w:p>
    <w:p>
      <w:r>
        <w:t>Bundesstrafgericht, 2024-09-19, DE</w:t>
      </w:r>
    </w:p>
    <w:p>
      <w:r>
        <w:rPr>
          <w:b/>
        </w:rPr>
        <w:t xml:space="preserve">Quelle: </w:t>
      </w:r>
      <w:r>
        <w:t>https://mcp.opencaselaw.ch/entscheid/bstger_BG.2024.13</w:t>
      </w:r>
    </w:p>
    <w:p>
      <w:r>
        <w:t>FR: TPF BG.2024.13 du 19 septembre 2024</w:t>
      </w:r>
    </w:p>
    <w:p>
      <w:r>
        <w:t>IT: TPF BG.2024.13 del 19 settembre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berechtigt sind, ihren Kanton im Meinungsaustausch und im Verfahren vor der Beschwerdekammer zu vertreten, bestimmen sich nach dem jeweiligen kantonalen Recht (Art. 14 Abs. 4 StPO).</w:t>
      </w:r>
    </w:p>
    <w:p>
      <w:r>
        <w:rPr>
          <w:b/>
        </w:rPr>
        <w:t>E. 1.2.1</w:t>
      </w:r>
    </w:p>
    <w:p>
      <w:r>
        <w:t>Erst wenn der Meinungsaustausch zwischen den Kantonen gescheitert ist, liegt ein streitiger Gerichtsstand vor, der zur Anrufung der Beschwerdekam- mer berechtigt (Art. 40 Abs. 2 StPO). Demgemäss tritt die Beschwerdekam- mer vor Abschluss des Meinungsaustauschs zwischen sämtlichen, ernstlich in Frage kommenden Kantonen auf ein Gesuch um Bestimmung des Gerichtsstandes nicht ein (vgl. zuletzt u.a. Beschluss des Bundesstrafge- richts BG.2024.24 vom 17. Juli 2024 E. 1.2 m.w.H.; vgl. auch BAUMGARTNER, Die Zuständigkeit im Strafverfahren, 2014, S. 481 ff., 490 f. m.w.H.).</w:t>
      </w:r>
    </w:p>
    <w:p>
      <w:r>
        <w:rPr>
          <w:b/>
        </w:rPr>
        <w:t>E. 1.2.2</w:t>
      </w:r>
    </w:p>
    <w:p>
      <w:r>
        <w:t>In Verfahren, in denen eine beschuldigte Person ein geleastes Fahrzeug nach Auflösung des Vertrages nicht zurückgibt, sie eine ausländische Staats- angehörige ist, die bei Einleitung des Verfahrens weder ihren Wohnsitz noch gewöhnlichen Aufenthalt in der Schweiz hat bzw. sich im Ausland befindet, wobei ihre Auslieferung nicht verlangt wurde, ist nach der Rechtsprechung</w:t>
      </w:r>
    </w:p>
    <w:p>
      <w:r>
        <w:t>- 4 -</w:t>
      </w:r>
    </w:p>
    <w:p>
      <w:r>
        <w:t>der Sitz der geschädigten Leasinggesellschaft gerichtsstandsrelevant (vgl. zuletzt u.a. Beschluss des Bundesstrafgerichts BG.2021.45 vom 10. August 2021 E. 3.3 m.w.H.). Diese Praxis stützt sich auf die bundesgerichtliche Rechtsprechung, die den Ort der Entreicherung bzw. Schädigung als Er- folgsort von Art. 138 StGB i.V.m. Art. 8 StGB betrachtet (BGE 124 IV 241 E. 4c und E. 4d).</w:t>
      </w:r>
    </w:p>
    <w:p>
      <w:r>
        <w:rPr>
          <w:b/>
        </w:rPr>
        <w:t>E. 1.2.3</w:t>
      </w:r>
    </w:p>
    <w:p>
      <w:r>
        <w:t>Nach dem Gesagten ist vorliegend eine Zuständigkeit des Kantons Zürich, wo die Bank B. ihren Sitz hat, in Betracht zu ziehen. Mit dem Kanton Zürich fand jedoch kein Meinungsaustausch statt, weshalb auf das Gesuch nicht eingetreten werden kann.</w:t>
      </w:r>
    </w:p>
    <w:p>
      <w:r>
        <w:rPr>
          <w:b/>
        </w:rPr>
        <w:t>E. 2</w:t>
      </w:r>
    </w:p>
    <w:p>
      <w:r>
        <w:t>Praxisgemäss ist bei interkantonalen Gerichtsstandskonflikten keine Gerichtsgebühr zu erheben (TPF 2023 130 E. 5.1).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