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BG.2023.54 vom 2. Februar 2024</w:t>
      </w:r>
    </w:p>
    <w:p>
      <w:r>
        <w:t>Bundesstrafgericht, 2024-02-02, DE</w:t>
      </w:r>
    </w:p>
    <w:p>
      <w:r>
        <w:rPr>
          <w:b/>
        </w:rPr>
        <w:t xml:space="preserve">Quelle: </w:t>
      </w:r>
      <w:r>
        <w:t>https://mcp.opencaselaw.ch/entscheid/bstger_BG.2023.54</w:t>
      </w:r>
    </w:p>
    <w:p>
      <w:r>
        <w:t>FR: TPF BG.2023.54 du 2 février 2024</w:t>
      </w:r>
    </w:p>
    <w:p>
      <w:r>
        <w:t>IT: TPF BG.2023.54 del 2 febbraio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2.3</w:t>
      </w:r>
    </w:p>
    <w:p>
      <w:r>
        <w:t>Begehen mehrere Beschuldigte zusammen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die Verfolgungshandlun- gen zuerst vorgenommen worden sind (vgl. u. a. die Beschlüsse des Bundesstrafgerichts BG.2016.28 vom 25. Oktober 2016 E. 2.1; BG.2016.19 vom 20. Juli 2016 E. 2.2; BG.2016.14 vom 14. Juni 2016 E. 2.2; jeweils m.w.H.). Die schwerste Tat im gerichtsstandsrechtlichen Sinn ist diejenige mit der höchsten abstrakten gesetzlichen Strafdrohung, wobei Qualifizie- rungs- und Privilegierungselemente des besonderen Teils des StGB, welche den Strafrahmen verändern, zu berücksichtigen sind (Entscheid des Bundesstrafgerichts BG.2010.14 vom 20. September 2010 E. 2.1).</w:t>
      </w:r>
    </w:p>
    <w:p>
      <w:r>
        <w:rPr>
          <w:b/>
        </w:rPr>
        <w:t>E. 2.4</w:t>
      </w:r>
    </w:p>
    <w:p>
      <w:r>
        <w:t>Die Beurteilung der Gerichtsstandsfrage richtet sich nach der aktuellen Verdachtslage. Massgeblich ist nicht, was dem Beschuldigten letztlich nach- gewiesen werden kann, sondern der Tatbestand, der Gegenstand der</w:t>
      </w:r>
    </w:p>
    <w:p>
      <w:r>
        <w:t>- 9 -</w:t>
      </w:r>
    </w:p>
    <w:p>
      <w:r>
        <w:t>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Generelle Vermutungen, Gerüchte, vorstellbare Lebensvor- gänge oder mathematische Wahrscheinlichkeiten, reichen zur Begründung eines Tatverdachts nicht aus (s. auch KARNUSIAN, Der Tatverdacht und seine Quellen, in forumpoenale 6/2016, S. 352 und 354; ACKERMANN, Tatverdacht und Cicero, - in dubio contra suspicionem maleficii, in Niggli/Hurtado Pozo/ Queloz [Hrsg.], Festschrift für Franz Riklin, Zürich 2007, S. 319 ff.). Dabei gilt der Grundsatz in dubio pro duriore, wonach im Zweifelsfall auf den für den Beschuldigten ungünstigeren Sachverhalt abzustellen bzw. das schwerere Delikt anzunehmen ist (vgl. Beschluss des Bundesstrafgerichts BG.2014.10 vom 10. Juni 2014 E. 2.1).</w:t>
      </w:r>
    </w:p>
    <w:p>
      <w:r>
        <w:rPr>
          <w:b/>
        </w:rPr>
        <w:t>E. 2.5</w:t>
      </w:r>
    </w:p>
    <w:p>
      <w:r>
        <w:t>Wer jemandem eine fremde bewegliche Sache zur Aneignung wegnimmt, um sich oder einen andern damit unrechtmässig zu bereichern, wird mit Frei- heitsstrafe bis zu fünf Jahren oder Geldstrafe bestraft. Der Dieb wird mit Frei- heitsstrafe bis zu zehn Jahren oder Geldstrafe nicht unter 180 Tagessätzen bestraft, wenn er den Diebstahl als Mitglied einer Bande ausführt, die sich zur fortgesetzten Verübung von Raub oder Diebstahl zusammengefunden hat (Art. 139 Ziff. 1 und 3 StGB). Nach der bundesgerichtlichen Rechtspre- chung ist Bandenmässigkeit gegeben, wenn zwei oder mehrere Täter sich mit dem ausdrücklich oder konkludent geäusserten Willen zusammenfinden, inskünftig zur Verübung mehrerer selbständiger, im Einzelnen möglicher- weise noch unbestimmter Straftaten zusammenzuwirken (BGE 135 IV 158 E. 2 S. 158 m.w.H.).</w:t>
      </w:r>
    </w:p>
    <w:p>
      <w:r>
        <w:rPr>
          <w:b/>
        </w:rPr>
        <w:t>E. 2.6</w:t>
      </w:r>
    </w:p>
    <w:p>
      <w:r>
        <w:t>Der Gesuchsteller und der Gesuchsgegner 1 sind sich hinsichtlich der Ein- bruchdiebstähle in der Nacht vom 16./17. März 2023 in X. (BL) und in W. (AG) darin einig, dass es klare Hinweise auf mehrere Mittäter und ban- denmässiges Vorgehen gibt (act. 3 S. 2 f.). Beim ersten Einbruchdiebstahl in der Nacht vom 14./15. März 2023 im Café B. in Y. (BL) ist lediglich die Tatbeteiligung von C. unbestritten. Es bleibt zu prüfen, ob auch bei diesem Einbruchdiebstahl, wie vom Gesuchsteller vorgebracht, in Anwendung des Grundsatzes in dubio pro duriore von einer Mittäterschaft seitens A. und damit von einem Verdacht auf bandenmässigen Diebstahl auszugehen ist.</w:t>
      </w:r>
    </w:p>
    <w:p>
      <w:r>
        <w:rPr>
          <w:b/>
        </w:rPr>
        <w:t>E. 2.7</w:t>
      </w:r>
    </w:p>
    <w:p>
      <w:r>
        <w:t>Grundsätzlich ist es nicht weiter erstaunlich, dass die mit dem Natel von A. am 14. März 2023 um 23:56 Uhr aufgenommenen Zigarettenpäckchen und E-Zigaretten vom Geschädigten nicht zweifelsfrei als die gestohlenen</w:t>
      </w:r>
    </w:p>
    <w:p>
      <w:r>
        <w:t>- 10 -</w:t>
      </w:r>
    </w:p>
    <w:p>
      <w:r>
        <w:t>Zigarettenpäckchen und E-Zigaretten identifiziert werden konnten (s. Akten Staatsanwaltschaft des Kantons Aargau, Ordner 3, Register 5, Erhebungs- bericht, S. 14). So handelt es sich doch beim Deliktsgut um neue, industriell produzierte Massenware, welche somit gar nicht individualisierbar ist.</w:t>
      </w:r>
    </w:p>
    <w:p>
      <w:r>
        <w:t>Dass alle auf dem Foto abgebildeten Zigarettenpäckchen und E-Zigaretten aufgrund ihrer Art oder Menge nicht der gestohlenen Ware entsprechen können, welche im Café B. zum Verkauf angeboten wurde, ist dem Polizei- rapport nicht zu entnehmen. Der Umstand, dass das Foto nicht am Tatort aufgenommen wurde, spricht ebenso wenig dagegen, dass es sich dabei um die in Y. gestohlenen Zigaretten und E-Zigaretten handeln könnte. Beim in der Tatnacht fotografierten Haufen Zigarettenpäckchen und E-Zigaretten handelt es sich jedenfalls um Diebesgut aus der fraglichen Nacht, was auch die Gesuchsgegnerin 1 anzunehmen scheint (act. 3 S. 3).</w:t>
      </w:r>
    </w:p>
    <w:p>
      <w:r>
        <w:t>Weiter ist vorliegend davon auszugehen, dass A. in der Nacht vom 16./17. März 2013 mit C. am Einbruchdiebstahl in X. BL beteiligt war. Gleich- zeitig steht fest, dass er zusammen mit C. und zwei weiteren ebenfalls einschlägig vorbestraften Landsleuten mit Einbruchswerkzeugen und Diebesgut in einem Personenwagen, welcher für den Einbruch am 17. März 2023 um 02:10 Uhr in W. im Kanton Aargau verwendet worden war, am 17. März 2023 um 22:31 Uhr von Frankreich in die Schweiz eingereist ist.</w:t>
      </w:r>
    </w:p>
    <w:p>
      <w:r>
        <w:t>Unter Berücksichtigung der vorstehend wiedergegebenen Gesamtumstände ist vorliegend nicht nur nicht ausgeschlossen, dass es sich bei den mit dem Natel von A. in der Tatnacht fotografierten Zigarettenpäckchen und E-Ziga- retten um die in Y. gestohlene Ware handelt. Vielmehr ist es naheliegend, dass es sich dabei um Diebesgut aus diesem Einbruchsdiebstahl handelt. Dass A. in der gleichen Nacht an einem anderen Ort einen Haufen Zigaret- tenpäckchen und E-Zigaretten gestohlen und mit seinem Natel fotografiert hätte, kann nicht ausgeschlossen werden, aber diesbezügliche Hinweise sind den vorliegenden Akten nicht zu entnehmen und ist aufgrund der Gesamtumstände auch nicht naheliegend. Die zeitliche Koinzidenz ist zu frappant (ebenso zu Recht der Gesuchsteller in act. 1 S. 5).</w:t>
      </w:r>
    </w:p>
    <w:p>
      <w:r>
        <w:t>In Anwendung des Grundsatzes in dubio pro duriore ist demnach auch beim Einbruchdiebstahl in Y. von einer Mittäterschaft seitens A. und damit von einem Verdacht auf bandenmässigen Diebstahl auszugehen. Somit handelt es sich bei diesem Einbruch um das erste mit der schwersten Sanktion begangene Delikt; diesbezüglich sind die ersten Verfolgungshandlungen im Kanton Basel-Landschaft erfolgt.</w:t>
      </w:r>
    </w:p>
    <w:p>
      <w:r>
        <w:t>- 11 -</w:t>
      </w:r>
    </w:p>
    <w:p>
      <w:r>
        <w:rPr>
          <w:b/>
        </w:rPr>
        <w:t>E. 3</w:t>
      </w:r>
    </w:p>
    <w:p>
      <w:r>
        <w:t>Der Antrag des Gesuchstellers ist nach dem Gesagten gutzuheissen und es sind die Strafverfolgungsbehörden des Kantons Basel-Landschaft für berechtigt und verpflichtet zu erklären, die A., C., G. und H. et al. zur Last gelegten Delikte zu verfolgen und zu beurteilen.</w:t>
      </w:r>
    </w:p>
    <w:p>
      <w:r>
        <w:rPr>
          <w:b/>
        </w:rPr>
        <w:t>E. 4</w:t>
      </w:r>
    </w:p>
    <w:p>
      <w:r>
        <w:t>Praxisgemäss ist bei interkantonalen Gerichtsstandskonflikten keine Ge- richtsgebühr zu erheben (vgl. Art. 423 Abs. 1 StPO i.V.m. Art. 66 Abs. 4 BGG per analogiam; vgl. schon BGE 87 IV 145).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