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 vom 5. April 2023</w:t>
      </w:r>
    </w:p>
    <w:p>
      <w:r>
        <w:t>Bundesstrafgericht, 2023-04-05, DE</w:t>
      </w:r>
    </w:p>
    <w:p>
      <w:r>
        <w:rPr>
          <w:b/>
        </w:rPr>
        <w:t xml:space="preserve">Quelle: </w:t>
      </w:r>
      <w:r>
        <w:t>https://mcp.opencaselaw.ch/entscheid/bstger_BG.2023.5</w:t>
      </w:r>
    </w:p>
    <w:p>
      <w:r>
        <w:t>FR: TPF BG.2023.5 du 5 avril 2023</w:t>
      </w:r>
    </w:p>
    <w:p>
      <w:r>
        <w:t>IT: TPF BG.2023.5 del 5 aprile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allerdings, dass mit allen ernsthaft in Frage kommenden Kan- tonen ein Meinungsaustausch durchgeführt wurde (Beschluss des Bun- desstrafgerichts BG.2013.31 vom 27. Februar 2014 E. 1.1 und 2.3; SCHWERI/BÄNZIGER, Interkantonale Gerichtsstandsbestimmung in Strafsa- chen, 2. Aufl. 2004, N. 599). Hinsichtlich der Frist, innerhalb welcher die er- suchende Behörde ihr Gesuch einzureichen hat, ist im Normalfall die Frist von zehn Tagen gemäss Art. 396 Abs. 1 StPO analog anzuwenden (TPF 2011 94 E. 2.2). Ein Abweichen von dieser Frist ist ausnahmsweise in be- gründeten Fällen zulässig, so zum Beispiel, wenn die schriftliche Stellung- nahme des ersuchten Kantons noch Verhandlungsspielraum bietet, der Fall aufgrund noch unklarer Faktenlage weiterer Erörterung bedarf oder aber während laufender Frist neue Fakten bekannt werden (Beschluss des Bun- desstrafgerichts BG.2012.20 vom 12. März 2014 E. 1.4; SCHLEGEL, Zürcher Kommentar, 3. Aufl. 2020, N. 6 zu Art. 40 StPO).</w:t>
      </w:r>
    </w:p>
    <w:p>
      <w:r>
        <w:t>- 10 -</w:t>
      </w:r>
    </w:p>
    <w:p>
      <w:r>
        <w:rPr>
          <w:b/>
        </w:rPr>
        <w:t>E. 1.2</w:t>
      </w:r>
    </w:p>
    <w:p>
      <w:r>
        <w:t>Der Gesuchsgegner stellt die Rechtzeitigkeit des Gesuches vom 24. Feb- ruar 2023 an die Beschwerdekammer in Frage. Der Gesuchsteller habe sich betreffend den Beschuldigten A. am 2. Februar 2023 im Rahmen des ab- schliessenden Meinungsaustausches an den Gesuchsgegner gewandt und um Übernahme der Strafuntersuchung gegen A. ersucht, was vom Gesuchs- gegner mit Schreiben vom 8. Februar 2023 abgelehnt worden sei. Mit Schrei- ben vom 14. Februar 2023 sei der Gesuchsteller erneut an den Gesuchs- gegner gelangt und habe um Übernahme der Strafuntersuchungen gegen A., B. und E. ersucht, was vom Gesuchsgegner wiederum mit Schreiben vom 15. Februar 2023 abgelehnt worden sei. Entgegen der Ansicht des Gesuch- stellers habe die Frist zur Einreichung des Gesuchs bei der Beschwerde- kammer des Bundesstrafgerichts nicht erst am 16. Februar 2023 zu laufen begonnen, denn es gehe nicht an, einfach den Meinungsaustausch zu wie- derholen, um die Frist zur Einreichung des Gesuchs zu verlängern (act. 5 S. 1).</w:t>
      </w:r>
    </w:p>
    <w:p>
      <w:r>
        <w:t>Den Akten zufolge hat der Gesuchseller den abschliessenden Meinungsaus- tausch betreffend die Übernahme der Strafuntersuchung gegen A. mit Schreiben vom 2. Februar 2023 eingeleitet. Mit Schreiben vom 14. Feb- ruar 2023 teilte der Gesuchsteller dem Gesuchsgegner mit, dass er den ab- schliessenden Meinungsaustausch auf die Beschuldigten E. und B. erwei- tere, da neueste Erkenntnisse klar zeigen würden, dass E. und B. als Mittäter von A. zu qualifizieren seien (act. 1.6 S. 2). Damit ist davon auszugehen, dass neue Fakten den Gesuchsteller veranlasst haben, einen weiteren ab- schliessenden Meinungsaustausch mit dem Gesuchsgegner durchzuführen. Anhaltspunkte dafür, dass es dem Gesuchsteller mit dem Schreiben vom 14. Februar 2023 nur um ein unnötiges Herauszögern des Gesuchs gegan- gen wäre, liegen keine vor. Das Gesuch ist somit fristgerecht gestellt worden. Unter Vorbehalt nachfolgender Erwägung (vgl. E. 2.3) ist auf das Gesuch einzutreten.</w:t>
      </w:r>
    </w:p>
    <w:p>
      <w:r>
        <w:rPr>
          <w:b/>
        </w:rPr>
        <w:t>E. 2.1</w:t>
      </w:r>
    </w:p>
    <w:p>
      <w:r>
        <w:t>Gemäss Art. 31 Abs. 1 StPO sind für die Verfolgung und Beurteilung einer Straftat die Behörden des Ortes zuständig, an dem die Tat verübt worden ist. Der Ausführungsort geht als primärer Gerichtsstand allen anderen Gerichts- ständen vor (BAUMGARTNER, Die Zuständigkeit im Strafverfahren, 2014, S. 58 m.w.H.; SCHWERI/BÄNZIGER, a.a.O., S. 24) und befindet sich dort, wo der Täter gehandelt hat (BGE 86 IV 222 E. 1; TPF 2021 167 E. 2.1).</w:t>
      </w:r>
    </w:p>
    <w:p>
      <w:r>
        <w:t>Hat eine beschuldigte Person mehrere Straftaten an verschiedenen Orten verübt, so sind nach Art. 34 Abs. 1 StPO für die Verfolgung und Beurteilung</w:t>
      </w:r>
    </w:p>
    <w:p>
      <w:r>
        <w:t>- 11 -</w:t>
      </w:r>
    </w:p>
    <w:p>
      <w:r>
        <w:t>sämtlicher Taten die Behörden des Ortes zuständig, an dem die mit der schwersten Strafe bedrohte Tat begangen worden ist. Bei gleicher Strafdro- hung sind die Behörden des Ortes zuständig, an dem zuerst Verfolgungs- handlungen vorgenommen worden sind (Art. 34 Abs. 1 StPO). Straftaten werden gemeinsam verfolgt und beurteilt, wenn Mittäterschaft oder Teil- nahme vorliegt (Art. 33 Abs. 1 StPO; Art. 29 Abs. 1 lit. b StPO). Ist eine Straf- tat von mehreren Mittäterinnen oder Mittätern verübt worden, so sind die Be- hörden des Ortes zuständig, an dem zuerst Verfolgungshandlungen vorge- nommen worden sind (Art. 33 Abs. 2 StPO).</w:t>
      </w:r>
    </w:p>
    <w:p>
      <w:r>
        <w:rPr>
          <w:b/>
        </w:rPr>
        <w:t>E. 2.2</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w:t>
      </w:r>
    </w:p>
    <w:p>
      <w:r>
        <w:rPr>
          <w:b/>
        </w:rPr>
        <w:t>E. 2.3</w:t>
      </w:r>
    </w:p>
    <w:p>
      <w:r>
        <w:t>Ein Abweichen vom gesetzlichen Gerichtsstand ist u.a. möglich, sofern ein Kanton das Verfahren durch bestimmte Prozesshandlungen konkludent übernommen hat. Eine konkludente Anerkennung liegt u.a. beim Erlass eines Strafbefehls, einer Nichtanhandnahmeverfügung (Art. 310 Abs. 1 StPO) oder einer Einstellungsverfügung (Art. 319 StPO) vor (Beschlüsse des Bundesstrafgerichts BG.2021.44 vom 8. November 2021 E. 3.2.4; BG.2015.49 vom 4. April 2016 E. 2.1; BAUMGARTNER, a.a.O., S. 386 f.). Aus Zweckmässigkeitsgründen kann auch ein Abweichen vom gesetzlichen Ge- richtsstand gerechtfertigt sein, wenn mehrere Tätergruppen zu beurteilen sind. Eine Aufteilung des Verfahrens nach verschiedenen Tätergruppen soll in der Regel nur vorgenommen werden, wenn zwei oder mehrere Tätergrup- pen zur Hauptsache unabhängig voneinander gehandelt haben und nur we- nige Querverbindungen zwischen ihnen bestanden, so dass sich eine ge- teilte Verfolgung und Beurteilung ohne zu grosse Schwierigkeiten durchfüh- ren lässt und sich auch unter dem Gesichtspunkt der Prozessökonomie auf- drängt (vgl. zum Ganzen eingehend SCHWERI/BÄNZIGER, a.a.O., N. 491 ff. m.w.H.).</w:t>
      </w:r>
    </w:p>
    <w:p>
      <w:r>
        <w:rPr>
          <w:b/>
        </w:rPr>
        <w:t>E. 2.4</w:t>
      </w:r>
    </w:p>
    <w:p>
      <w:r>
        <w:t>Unter den Parteien ist unbestritten, dass A. zu einer rumänischen Tätergrup- pierung gehört, die seit März 2022 in wechselnder Zusammensetzung in ver- schiedenen Kantonen, namentlich Jura, Bern, Solothurn, Basel-Landschaft, Luzern, Aargau, Waadt, Freiburg, Neuenburg, Zürich und St. Gallen</w:t>
      </w:r>
    </w:p>
    <w:p>
      <w:r>
        <w:t>- 12 -</w:t>
      </w:r>
    </w:p>
    <w:p>
      <w:r>
        <w:t>Diebstähle begangen hat. Unbestritten ist ferner, dass zu dieser Tätergrup- pierung auch E. und B. gehören. Aktenkundig ist sodann, dass der Kanton Bern mit Bezug auf A. vor dem Kanton Jura Verfolgungshandlungen vorge- nommen hat, nämlich mit der Eröffnung der Strafuntersuchung am 21. Sep- tember 2022 (vgl. supra lit. A). Soweit ersichtlich hat der Kanton Bern nur mit Bezug auf E. ein (nicht gerichtsstandsbestimmendes) Sammelverfahren er- öffnet. Damit wäre grundsätzlich gestützt auf Art. 33 Abs. 1 und 2 sowie Art. 29 Abs. 1 StPO und bei Beschränkung der Prüfung mit dem Kanton Jura der Kanton Bern zur Verfolgung von A. und weiterer Mitttäter zuständig.</w:t>
      </w:r>
    </w:p>
    <w:p>
      <w:r>
        <w:t>Allerdings hat die Staatsanwaltschaft JU A. für die am 22. September und 31. Oktober 2022 im Kanton Jura begangenen Einbruchsdiebstähle mit Strafbefehl vom 17. Januar 2023 bestraft (act. 1.4). Der Erlass des Strafbe- fehls erfolgte während des laufenden Meinungsaustausches mit dem Ge- suchsteller (vgl. supra lit. J-M). Abgesehen davon, dass ein derartiges Vor- gehen nicht als fair im Sinne der Ziff. 1 der Gerichtsstandsempfehlungen so- wie Art. 3 Abs. 2 lit. a StPO bezeichnet werden dürfte, ist in Anwendung der oben zitierten Rechtsprechung von einer konkludenten Anerkennung des Gerichtsstandes hinsichtlich des Beschuldigten A. durch den Kanton Jura auszugehen. Dies mit der Konsequenz, dass der Kanton Jura die im Kanton Bern gegen A. und die Mitbeschuldigten E. und B. eröffneten Strafuntersu- chungen grundsätzlich zu übernehmen hätte. Von den drei Beschuldigten hat jedoch soweit ersichtlich nur A. im Kanton Jura delinquiert. Alle anderen, in der Deliktsübersicht der Kantonspolizei Zürich und der Stadtpolizei Zürich vom 6. Februar 2023 aufgeführten Einbruchsdiebstähle wurden in anderen Kantonen und nicht im Kanton Jura ausgeführt (vgl. act. 1.13). Eine strikte Anwendung von Art. 29 StPO würde dazu führen, dass der Kanton Jura in Zukunft eine grosse Anzahl von Verfahren gegen Beschuldigte führen müsste, die (mutmasslich) im Kanton Jura gar nicht delinquiert haben. Auch dürften jeweils verschiedene Tätergruppen unabhängig voneinander und in wechselnder Konstellation gehandelt haben. Eine Übernahme sämtlicher Verfahren durch den Kanton Jura wäre daher unpraktikabel und ist aus pro- zessökonomischen Gründen zu vermeiden (vgl. Beschluss des Bundesstraf- gerichts BG.2022.8 vom 1. April 2022 E. 3.4.1 m.w.H.). Es rechtfertigt sich deshalb, das Verfahren gegen A. von den Verfahren gegen E. und B. abzu- trennen. Da der Gesuchsteller nur mit dem Kanton JU einen abschliessen- den Meinungsaustausch durchgeführt hat (vgl. supra lit. V) und aufgrund der Akten davon auszugehen ist, dass die Beschuldigten E. und B. in mehreren Kantonen deliktisch tätig waren, ist der Meinungsaustausch nicht mit allen in Frage kommenden Kantonen abgeschlossen. Auf das Gesuch ist daher – soweit es die Beschuldigten E. und B. betrifft – nicht einzutreten.</w:t>
      </w:r>
    </w:p>
    <w:p>
      <w:r>
        <w:t>- 13 -</w:t>
      </w:r>
    </w:p>
    <w:p>
      <w:r>
        <w:rPr>
          <w:b/>
        </w:rPr>
        <w:t>E. 3</w:t>
      </w:r>
    </w:p>
    <w:p>
      <w:r>
        <w:t>Nach dem Gesagten ist der Antrag des Gesuchstellers teilweise gutzuheis- sen und es sind die Strafverfolgungsbehörden des Kantons Jura für berech- tigt und verpflichtet zu erklären, die dem Beschuldigten A. zur Last gelegten Delikte zu verfolgen und zu beurteilen. Im Übrigen ist auf das Gesuch nicht einzutreten.</w:t>
      </w:r>
    </w:p>
    <w:p>
      <w:r>
        <w:rPr>
          <w:b/>
        </w:rPr>
        <w:t>E. 4</w:t>
      </w:r>
    </w:p>
    <w:p>
      <w:r>
        <w:t>Es sind keine Gerichtskosten zu erheben (Art. 423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