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BG.2023.43 vom 19. Januar 2024</w:t>
      </w:r>
    </w:p>
    <w:p>
      <w:r>
        <w:t>Bundesstrafgericht, 2024-01-19, DE</w:t>
      </w:r>
    </w:p>
    <w:p>
      <w:r>
        <w:rPr>
          <w:b/>
        </w:rPr>
        <w:t xml:space="preserve">Quelle: </w:t>
      </w:r>
      <w:r>
        <w:t>https://mcp.opencaselaw.ch/entscheid/bstger_BG.2023.43</w:t>
      </w:r>
    </w:p>
    <w:p>
      <w:r>
        <w:t>FR: TPF BG.2023.43 du 19 janvier 2024</w:t>
      </w:r>
    </w:p>
    <w:p>
      <w:r>
        <w:t>IT: TPF BG.2023.43 del 19 gennaio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w:t>
      </w:r>
    </w:p>
    <w:p>
      <w:r>
        <w:t>- 5 -</w:t>
      </w:r>
    </w:p>
    <w:p>
      <w:r>
        <w:t>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1StBOG). Voraussetzung für die Anrufung der Beschwerdekammer ist allerdings, dass mit allen ernsthaft in Frage kom- menden Kantonen ein Meinungsaustausch durchgeführt wurde (Beschluss des Bundesstrafgerichts BG.2013.32 vom 27. Februar 2014 E. 1.1 und 2.3; SCHWERI/BÄNZIGER, Interkantonale Gerichtsstandsbestimmung in Strafsa- chen, 2. Aufl. 2004, N. 599). Hinsichtlich der Frist, innerhalb welcher die ersuchende Behörde ihr Gesuch einzureichen hat, ist im Normalfall die Frist von zehn Tagen gemäss Art. 396 Abs. 1 StPO analog anzuwenden (TPF 2011 94 E. 2.2). Ein Abweichen von dieser Frist ist ausnahmsweise in begründeten Fällen zulässig, so zum Beispiel, wenn die schriftliche Stellung- nahme des ersuchten Kantons noch Verhandlungsspielraum bietet, der Fall aufgrund noch unklarer Faktenlage weiterer Erörterung bedarf oder aber während laufender Frist neue Fakten bekannt werden (Beschluss des Bun- desstrafgerichts BG.2012.20 vom 12. März 2014 E. 1.4; SCHLEGEL, Zürcher Kommentar, 3. Aufl. 2020, N. 6 zu Art. 40 StPO).</w:t>
      </w:r>
    </w:p>
    <w:p>
      <w:r>
        <w:rPr>
          <w:b/>
        </w:rPr>
        <w:t>E. 1.2</w:t>
      </w:r>
    </w:p>
    <w:p>
      <w:r>
        <w:t>Die Parteien gehen zu Recht davon aus, dass gerichtsstandbestimmend die Frage ist, ob die im Kanton Appenzell I.Rh. beanzeigten und B. vorgeworfe- nen Betrugshandlungen das Merkmal der Gewerbsmässigkeit aufweisen. Dabei gehen die beteiligten Kantone offenbar stillschweigend davon aus, dass die Tathandlungen des im Kanton Appenzell I.Rh. zur Anzeige ge- brachten Betrugs in diesem Kanton verübt worden sind. Ein Betrug gilt als dort ausgeführt, wo der Täter jemanden durch Vorspiegelung oder Unterdrü- ckung von Tatsachen zu einem Verhalten bestimmt, das den sich Irrenden oder einen Dritten am Vermögen schädigt (SCHWERI/BÄNZIGER, a.a.O., N. 106). B. wird vorgeworfen, als Vertriebsleiter der in Z./AI ansässigen A. AG zwischen dem 7. Juli und 31. August 2022 zum Nachteil der A. AG mut- masslich sieben fiktive Rechnungen zugunsten seiner eigenen Gesellschaft, der C. AG, sowie zugunsten der D. GmbH und der E. AG ausgestellt zu haben. Die Rechnungen habe er in der Folge per E-Mail der I. AG geschickt, welche die Zahlungen für die A. AG vorgenommen habe. Auch habe er verschiedentlich telefonisch bei der I. AG um Begleichung der fiktiven Rech- nungen gebeten (vgl. supra lit. A; zum Ganzen: Verfahrensakten Kt. AI, Ordner 1/2, Lasche S1). Gemäss Sammelbericht der Kantonspolizei des Kantons Appenzell I.Rh. vom 30. Mai 2023 befindet sich das Domizil der A. AG in Z./AI bei der I. AG. J., Geschäftsführer des österreichischen</w:t>
      </w:r>
    </w:p>
    <w:p>
      <w:r>
        <w:t>- 6 -</w:t>
      </w:r>
    </w:p>
    <w:p>
      <w:r>
        <w:t>Mutterhauses der A. AG, hatte anlässlich der Einvernahme durch die Lan- despolizeidirektion Oberösterreich vom 9. September 2022 ausgesagt, dass sich die Büros der A. AG hingegen an der […]-Strasse in Y./ZH befänden. J. hielt ausserdem im Rahmen einer E-Mail-Korrespondenz vom Septem- ber 2022 mit dem in der Strafuntersuchung des Kantons Appenzell I.Rh. zu- ständigen polizeilichen Sachbearbeiter fest, dass am Rande noch weitere Personen involviert gewesen seien, die mit B. im Büro in Y./ZH gearbeitet hätten. Aufgrund der heutigen Aktenlage ist daher davon auszugehen, dass B. von Y./ZH aus für die A. AG tätig war. So sind denn auch die von B. aus- gestellten Rechnungen jeweils an die A. AG, […]-Strasse in Y./ZH (bzw. X./ZH) adressiert worden (vgl. zum Ganzen: Verfahrensakten Kt. AI, Ordner 1/2, Lasche S1). An welchem Ort B. die fingierten Rechnungen erstellt und von wo aus er die E-Mails an die I. AG mit den Zahlungsanweisungen ge- schickt bzw. die entsprechenden Telefonate mit der I. AG geführt hat, ist auf- grund der vorliegenden Aktenlage unklar. In Betracht kommt sein Arbeitsort an der […]-Strasse in Y./ZH. Nicht auszuschliessen sind auch sein Wohnort in W./SO oder der Sitz der C. AG in V./ZG. Ein Meinungsaustausch mit den Kantonen Zürich, Solothurn oder Zug hinsichtlich der im Kanton Appenzell I.Rh. beanzeigten Delikte hat jedoch nicht stattgefunden. Entsprechend ist der Meinungsaustausch nicht vollständig durchgeführt worden.</w:t>
      </w:r>
    </w:p>
    <w:p>
      <w:r>
        <w:rPr>
          <w:b/>
        </w:rPr>
        <w:t>E. 1.3</w:t>
      </w:r>
    </w:p>
    <w:p>
      <w:r>
        <w:t>Daraus ergibt sich, dass mangels eines vollständigen Austauschs über den Gerichtsstand mit sämtlichen in Frage kommenden Kantonen auf das Gesuch nicht einzutreten ist. Vor diesem Hintergrund braucht der Frage nach der Rechtzeitigkeit des Gesuchs nicht weiter nachgegangen zu werden.</w:t>
      </w:r>
    </w:p>
    <w:p>
      <w:r>
        <w:rPr>
          <w:b/>
        </w:rPr>
        <w:t>E. 2</w:t>
      </w:r>
    </w:p>
    <w:p>
      <w:r>
        <w:t>Praxisgemäss ist bei interkantonalen Gerichtsstandskonflikten keine Ge- richtsgebühr zu erheben (vgl. Art. 423 Abs. 1 StPO i.V.m. Art. 66 Abs. 4 BGG per analogiam; vgl. schon BGE 87 IV 145).</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