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BG.2023.42 vom 6. Dezember 2023</w:t>
      </w:r>
    </w:p>
    <w:p>
      <w:r>
        <w:t>Bundesstrafgericht, 2023-12-06, IT</w:t>
      </w:r>
    </w:p>
    <w:p>
      <w:r>
        <w:rPr>
          <w:b/>
        </w:rPr>
        <w:t xml:space="preserve">Quelle: </w:t>
      </w:r>
      <w:r>
        <w:t>https://mcp.opencaselaw.ch/entscheid/bstger_BG.2023.42</w:t>
      </w:r>
    </w:p>
    <w:p>
      <w:r>
        <w:t>FR: TPF BG.2023.42 du 6 décembre 2023</w:t>
      </w:r>
    </w:p>
    <w:p>
      <w:r>
        <w:t>IT: TPF BG.2023.42 del 6 dicembre 2023</w:t>
      </w:r>
    </w:p>
    <w:p>
      <w:pPr>
        <w:pStyle w:val="Heading2"/>
      </w:pPr>
      <w:r>
        <w:t>Regeste</w:t>
      </w:r>
    </w:p>
    <w:p>
      <w:r>
        <w:t>Conflitti in materia di foro (art. 40 cpv. 2 CPP)</w:t>
      </w:r>
    </w:p>
    <w:p>
      <w:pPr>
        <w:pStyle w:val="Heading2"/>
      </w:pPr>
      <w:r>
        <w:t>Erwägungen</w:t>
      </w:r>
    </w:p>
    <w:p>
      <w:r>
        <w:rPr>
          <w:b/>
        </w:rPr>
        <w:t>E. 1.1</w:t>
      </w:r>
    </w:p>
    <w:p>
      <w:r>
        <w:t>Le autorità penali esaminano d’ufficio la loro competenza e, se necessario, rimettono il caso all’autorità competente (art. 39 cpv. 1 CPP). Se più autorità penali risultano competenti per territorio, i pubblici ministeri interessati si co- municano senza indugio gli elementi essenziali del caso e si adoperano per raggiungere un’intesa il più rapidamente possibile (art. 39 cpv. 2 CPP). Se le autorità di perseguimento penale di più Cantoni non riescono ad accordarsi sul foro competente, il pubblico ministero del Cantone che per primo si è occupato della causa sottopone senza indugio, in ogni caso prima della pro- mozione dell’accusa, la questione al Tribunale penale federale affinché de- cida (art. 40 cpv. 2 CPP combinato con l’art. 37 cpv. 1 della legge federale del 19 marzo 2010 sull’organizzazione delle autorità penali della Confedera- zione [LOAP; RS 173.71]). Di massima si applica il termine di 10 giorni pre- visto dall’art. 396 cpv. 1 CPP, dal quale l’autorità richiedente può scostarsi unicamente in circostanze eccezionali che essa è tenuta a specificare (TPF 2011 94 consid. 2.2).</w:t>
      </w:r>
    </w:p>
    <w:p>
      <w:r>
        <w:rPr>
          <w:b/>
        </w:rPr>
        <w:t>E. 1.2</w:t>
      </w:r>
    </w:p>
    <w:p>
      <w:r>
        <w:t>Condizione per adire il giudice del foro è che tutti i Cantoni coinvolti abbiano provveduto a formulare una loro presa di posizione mediante uno scambio di scritti. Nell’eventualità in cui tale scambio di scritti non abbia portato ad alcun esito, si concretizza un conflitto di foro che giustifica l’intervento di que- sta Corte (v. art. 40 cpv. 2 CPP; BOUVERAT, Commentario romando, 2a ediz. 2019, n. 4 ad art. 39 CPP; SCHWERI/BÄNZIGER, Interkantonale Gerichts- standsbestimmung in Strafsachen, 2a ediz. 2004, n. 569 e 599; SCHLEGEL, Commentario zurighese, 3a ediz. 2020, n. 8 ad art. 40 CPP; GUIDON/BÄNZI- GER, Die aktuelle Rechtsprechung des Bundesstrafgerichts zum interkanto- nalen Gerichtsstand in Strafsachen, Jusletter del 21 maggio 2007, n. 5). La determinazione dell’autorità legittimata a rappresentare il proprio Cantone nell’ambito dello scambio di vedute o durante la procedura dinnanzi alla Corte dei reclami penali è retta dalle legislazioni cantonali (v. art. 14 cpv. 4 CPP; sentenza del Tribunale penale federale BG.2022.17 del 5 dicembre 2022 consid. 1.1; ECHLE/KUHN, Commentario basilese, 3a ed. 2023, n. 9 ad art. 39 CPP). In Ticino tale prerogativa è assunta dal procuratore incaricato del procedimento (v. art. 67 cpv. 6 della legge del 10 maggio 2006 sull’orga- nizzazione giudiziaria [LOG; RL TI 177.100] decisione del Tribunale penale</w:t>
      </w:r>
    </w:p>
    <w:p>
      <w:r>
        <w:t>- 4 -</w:t>
      </w:r>
    </w:p>
    <w:p>
      <w:r>
        <w:t>federale BG.2013.16 del 18 luglio 2013 consid. 1.2); a Ginevra dal Ministero pubblico in quanto tale (art. 77 al. 2 let. a della loi du 26 septembre 2010 sur l’organisation judiciaire [LOJ; RS GE E 2 05]).</w:t>
      </w:r>
    </w:p>
    <w:p>
      <w:r>
        <w:rPr>
          <w:b/>
        </w:rPr>
        <w:t>E. 1.3</w:t>
      </w:r>
    </w:p>
    <w:p>
      <w:r>
        <w:t>Lo scambio di vedute ai sensi dell’art. 39 cpv. 2 CPP ha natura informale e deve intervenire il più presto possibile, in modo trasparente e leale, l’inattività potendo essere interpretata quale accettazione tacita del foro (v. sentenza del Tribunale penale federale BG.2017.21 del 17 gennaio 2018 consid. 3.2; BOUVERAT, op. cit., n. 4 ad art. 39 CPP; JOSITSCH/SCHMID, Schweizerische Strafprozessordnung, Praxiskommentar, n. 4 ad art. 39 CPP; CPS, Recom- mandations sur le for, n. 1). L’autorità cui è indirizzata una comunicazione ai sensi dell’art. 39 cpv. 2 CPP non può limitarsi a contestare la propria com- petenza ma deve indicare quali sono, dal suo punto di vista, gli elementi de- terminanti per la fissazione del foro alla luce dei criteri di cui agli art. 31 e seg. CPP (BOUVERAT, op. cit., n. 4 ad art. 39 CPP; SCHLEGEL, op. cit., n. 5 ad art. 39 CPP). Nello specifico, il comportamento di un’autorità penale che, restando silente, impedisce di procedere ad uno scambio di opinioni sulla questione del foro e quindi di raggiungere un’intesa il più rapidamente pos- sibile non deve essere favorito in quanto contrario al principio della buona fede (art. 3 cpv. 2 lett. a CPP) ed all’imperativo di celerità (art. 5 CPP). In tale contesto, un silenzio prolungato va di regola considerato come un riconosci- mento del foro per atti concludenti, in particolare se l’autorità a cui è stata richiesta l’assunzione del procedimento è ancora in possesso dell’incarta- mento originale della causa, non avendolo restituito (TPF 2018 65 consid. 2.2; SCHLEGEL, op. cit., n. 3 ad art. 39 CPP; sull’ammissione del foro per atti concludenti si vedano anche TPF 2017 170; 2011 178 consid. 3.2; ECHLE/KUHN, op. cit., n. 14 ad 39 CPP).</w:t>
      </w:r>
    </w:p>
    <w:p>
      <w:r>
        <w:rPr>
          <w:b/>
        </w:rPr>
        <w:t>E. 2.1</w:t>
      </w:r>
    </w:p>
    <w:p>
      <w:r>
        <w:t>Nel caso in narrativa, prima di adire il giudice del foro il MP-TI si è corretta- mente adoperato per uno scambio di vedute ai sensi dell’art. 39 cpv. 2 CPP. Oltre ad un unico contatto telefonico, intercorso nelle more del sollecito in- viato dal MP-TI del 22 agosto 2023 (v. act. 1, pag. 3; act. 3. pag. 3), richie- dente ed opponente, ossia le autorità legittimate a rappresentare il proprio Cantone in detto contesto, non si sono però trasmessi ulteriori allegati. Ap- pare evidente che ciò sia da imputare all’inazione da parte del MP-GE, che non ha risposto alla domanda di assunzione del procedimento nonostante il fatto che il fascicolo, trasmessogli dall’omologo ticinese, fosse già nelle mani della polizia ginevrina (v. act. 3, pag. 2). Ad oggi, non risulta che il MP-GE abbia ritornato l’incarto al magistrato richiedente. Ciò nonostante, l’oppo- nente non si è ancora formalmente espresso sulla domanda di assunzione risalente al 17 luglio 2023. Nell’ambito della presente procedura giudiziaria, il MP-GE ha sì preso posizione sull’istanza del 6 ottobre 2023 –</w:t>
      </w:r>
    </w:p>
    <w:p>
      <w:r>
        <w:t>- 5 -</w:t>
      </w:r>
    </w:p>
    <w:p>
      <w:r>
        <w:t>diversamente da quanto occorso nel caso referenziato nella TPF 2018 65 consid. 2.2 –, ma lo ha fatto limitandosi a censurare il mancato adempimento del prerequisito dello scambio degli scritti preliminare, quindi senza addurre elementi pertinenti per la determinazione del foro alla luce dei criteri norma- tivi e giurisprudenziali. Tale agire non è conforme ai principi di buona fede e celerità, e non può che condurre al riconoscimento del foro per atti conclu- denti da parte del Canton Ginevra, dove del resto risultano in atto chiarimenti della polizia sul ruolo di B. nella vicenda, dei quali non si vede il perché le autorità ginevrine abbiano dovuto attendere il contatto telefonico susse- guente al sollecito del 22 agosto 2023 per informare i colleghi ticinesi. Per un efficace coordinamento delle indagini, prima ancora che per esigenze nella fissazione del foro, si tratta di informazioni che dovrebbero essere con- divise senza indugio. Inutile infatti sottolineare lo stretto legame esistente, a livello investigativo, oltre che dogmatico, tra il reato di riciclaggio e l’antefatto criminale, nella fattispecie la truffa.</w:t>
      </w:r>
    </w:p>
    <w:p>
      <w:r>
        <w:rPr>
          <w:b/>
        </w:rPr>
        <w:t>E. 2.2</w:t>
      </w:r>
    </w:p>
    <w:p>
      <w:r>
        <w:t>Alla luce di quanto sopra, l’istanza del MP-TI del 6 ottobre 2023 è accolta. Le autorità penali del Canton Ginevra sono competenti per il perseguimento penale dei reati oggetto della presente procedura.</w:t>
      </w:r>
    </w:p>
    <w:p>
      <w:r>
        <w:rPr>
          <w:b/>
        </w:rPr>
        <w:t>E. 3</w:t>
      </w:r>
    </w:p>
    <w:p>
      <w:r>
        <w:t>Come da prassi, per la presente decisione non vengono prelevate spese (v. art. 423 cpv. 1 CPP unitamente ad art. 66 cpv. 4 LTF per analogia: v. già DTF 87 IV 145).</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