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BG.2023.31 vom 27. Juli 2023</w:t>
      </w:r>
    </w:p>
    <w:p>
      <w:r>
        <w:t>Bundesstrafgericht, 2023-07-27, FR</w:t>
      </w:r>
    </w:p>
    <w:p>
      <w:r>
        <w:rPr>
          <w:b/>
        </w:rPr>
        <w:t xml:space="preserve">Quelle: </w:t>
      </w:r>
      <w:r>
        <w:t>https://mcp.opencaselaw.ch/entscheid/bstger_BG.2023.31</w:t>
      </w:r>
    </w:p>
    <w:p>
      <w:r>
        <w:t>FR: TPF BG.2023.31 du 27 juillet 2023</w:t>
      </w:r>
    </w:p>
    <w:p>
      <w:r>
        <w:t>IT: TPF BG.2023.31 del 27 luglio 2023</w:t>
      </w:r>
    </w:p>
    <w:p>
      <w:pPr>
        <w:pStyle w:val="Heading2"/>
      </w:pPr>
      <w:r>
        <w:t>Regeste</w:t>
      </w:r>
    </w:p>
    <w:p>
      <w:r>
        <w:t>Compétence ratione materiae (art. 28 CPP); contestation du for (art. 41 al. 2 CPP)</w:t>
      </w:r>
    </w:p>
    <w:p>
      <w:pPr>
        <w:pStyle w:val="Heading2"/>
      </w:pPr>
      <w:r>
        <w:t>Erwägungen</w:t>
      </w:r>
    </w:p>
    <w:p>
      <w:r>
        <w:rPr>
          <w:b/>
        </w:rPr>
        <w:t>E. 17</w:t>
      </w:r>
    </w:p>
    <w:p>
      <w:r>
        <w:t>septembre 2019 consid. 1.1; SCHMID/JOSITSCH, Praxiskommentar, 3e éd. 2018, n. 3 ad art. 41 CPP);</w:t>
      </w:r>
    </w:p>
    <w:p>
      <w:r>
        <w:t>en l’espèce, suite à la contestation de for de A., le MP-FR a rendu, en date du 3 juillet 2023, une ordonnance, susceptible de recours, confirmant sa compétence pour reprendre la procédure (act. 1.1);</w:t>
      </w:r>
    </w:p>
    <w:p>
      <w:r>
        <w:t>la compétence de la Cour de céans est ainsi donnée pour connaître d’un recours contre le prononcé du 3 juillet 2023;</w:t>
      </w:r>
    </w:p>
    <w:p>
      <w:r>
        <w:t>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w:t>
      </w:r>
    </w:p>
    <w:p>
      <w:r>
        <w:t>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2e éd. 2019, n. 19</w:t>
      </w:r>
    </w:p>
    <w:p>
      <w:r>
        <w:t>- 4 -</w:t>
      </w:r>
    </w:p>
    <w:p>
      <w:r>
        <w:t>ad art. 396 CPP; CALAME, Commentaire romand, op. cit., n. 2 ad art. 385 CPP);</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dans la mesure de l’intelligibilité de sa lettre du 21 juillet 2023, A. ne conteste pas la compétence du MP-FR et ne fait valoir aucun argument utile en faveur d’un autre for, en l’occurrence, fédéral;</w:t>
      </w:r>
    </w:p>
    <w:p>
      <w:r>
        <w:t>vu la précédente décision BG.2022.41 du 29 novembre 2022, concernant A., la Cour de céans renonce à procéder selon l’art. 385 al. 2 CPP, y compris s’agissant de la confirmation de son intention de recourir, estimant qu’une telle mesure ne ferait que prolonger inutilement la procédure, sans en modifier l’issue;</w:t>
      </w:r>
    </w:p>
    <w:p>
      <w:r>
        <w:t>au vu de ce qui précède, le recours doit être déclaré irrecevable, sans procéder à un échange d’écriture (art. 390 al. 2 CPP a contrario);</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au minimum légal de CHF 200.-- et mis à la charge de A. (v. art.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