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BG.2023.30 vom 9. August 2023</w:t>
      </w:r>
    </w:p>
    <w:p>
      <w:r>
        <w:t>Bundesstrafgericht, 2023-08-09, DE</w:t>
      </w:r>
    </w:p>
    <w:p>
      <w:r>
        <w:rPr>
          <w:b/>
        </w:rPr>
        <w:t xml:space="preserve">Quelle: </w:t>
      </w:r>
      <w:r>
        <w:t>https://mcp.opencaselaw.ch/entscheid/bstger_BG.2023.30</w:t>
      </w:r>
    </w:p>
    <w:p>
      <w:r>
        <w:t>FR: TPF BG.2023.30 du 9 août 2023</w:t>
      </w:r>
    </w:p>
    <w:p>
      <w:r>
        <w:t>IT: TPF BG.2023.30 del 9 agosto 2023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Die Behörden, welche berechtigt sind, ihren Kanton im Meinungsaustausch und im Verfahren vor der Beschwerdekam- mer zu vertreten, bestimmen sich nach dem jeweiligen kantonalen Recht (Art. 14 Abs. 4 StPO).</w:t>
      </w:r>
    </w:p>
    <w:p>
      <w:r>
        <w:t>- 9 -</w:t>
      </w:r>
    </w:p>
    <w:p>
      <w:r>
        <w:rPr>
          <w:b/>
        </w:rPr>
        <w:t>E. 1.2</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Für die Verfolgung und Beurteilung einer Straftat sind die Behörden des Or- tes zuständig, an dem die Tat verübt worden ist (Art. 31 Abs. 1 StPO). Der Ausführungsort befindet sich dort, wo der Täter gehandelt hat (BGE 86 IV 222 E. 1; TPF 2021 167 E. 2.1). Ist eine Straftat von mehreren Mittätern verübt worden, so sind die Behörden des Ortes zuständig, an dem zuerst Verfolgungshandlungen vorgenommen worden sind (Art. 33 Abs. 2 StPO).</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BG.2022.49 vom 23. März 2023 E. 2.3; BG.2022.29 vom 21. November 2022 E. 3.3; BG.2011.49 vom 19. Januar 2012 E. 2.1). Die schwerste Tat im gerichtsstandsrechtlichen Sinn ist diejenige mit der höchs- ten abstrakten gesetzlichen Strafdrohung, wobei Qualifizierungs- und Privi- legierungselemente des besonderen Teils des StGB, welche den Strafrah- men verändern, zu berücksichtigen sind. Bei gleichen Höchststrafen ist das- jenige Delikt mit der höchsten gesetzlichen Mindeststrafe entscheidend (s. z.B. Beschlüsse des Bundesstrafgerichts BG.2022.31 vom 28. September 2022 E. 2.1; BG.2013.15 vom 27. Juni 2013 E. 3.1; BG.2010.14 vom 20. September 2010 E. 2.1).</w:t>
      </w:r>
    </w:p>
    <w:p>
      <w:r>
        <w:rPr>
          <w:b/>
        </w:rPr>
        <w:t>E. 2.2</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w:t>
      </w:r>
    </w:p>
    <w:p>
      <w:r>
        <w:t>- 10 -</w:t>
      </w:r>
    </w:p>
    <w:p>
      <w:r>
        <w:t>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Generelle Vermutungen, Gerüchte, vorstellbare Lebensvor- gänge oder mathematische Wahrscheinlichkeiten reichen zur Begründung eines Tatverdachts nicht aus (s. auch KARNUSIAN, Der Tatverdacht und seine Quellen, in forumpoenale 2016, S. 352 und 354; ACKERMANN, Tatverdacht und Cicero, – in dubio contra suspicionem maleficii, in: Niggli/Hurtado Pozo/Queloz [Hrsg.], Festschrift für Franz Riklin, 2007, S. 319 ff.). Es gilt der Grundsatz in dubio pro duriore, wonach im Zweifelsfall auf den für den Be- schuldigten ungünstigeren Sachverhalt abzustellen bzw. das schwerere De- likt anzunehmen ist (TPF 2021 167 E. 3.2.3).</w:t>
      </w:r>
    </w:p>
    <w:p>
      <w:r>
        <w:rPr>
          <w:b/>
        </w:rPr>
        <w:t>E. 2.3</w:t>
      </w:r>
    </w:p>
    <w:p>
      <w:r>
        <w:t>Vorliegend waren sich die Kantone bereits vor Einleitung des Gerichtsver- fahrens einig, dass die gleichentags auf dem Gebiet des Kantons Zürich (Ge- suchsgegner 1) begangenen Handlungen in Anwendung des Grundsatzes in dubio pro duriore den Verdacht des bandenmässigen Diebstahls, began- gen durch beide Beschuldigten, begründen und die betreffenden Verfol- gungshandlungen zeitlich vor denjenigen der Strafverfolgungsbehörden des Kantons Aargau (Gesuchsgegner 2) und des Kantons Basel-Landschaft (Gesuchsteller) erfolgten (s. supra lit. J, K und M).</w:t>
      </w:r>
    </w:p>
    <w:p>
      <w:r>
        <w:t>Dass der Diebstahl im Kanton Solothurn in Anwendung des Grundsatzes in dubio pro duriore als bandenmässiger Diebstahl, begangen durch beide Be- schuldigten, zu qualifizieren wäre und dementsprechend vorliegend der Kan- ton Solothurn als Gerichtsstand ernsthaft in Frage käme, trug im Verfahren vor der Beschwerdekammer keine Partei mehr bzw. keine Partei mit Über- zeugung vor (s. supra lit. J, K und M), weshalb darauf nicht weiter einzuge- hen ist.</w:t>
      </w:r>
    </w:p>
    <w:p>
      <w:r>
        <w:t>Nach dem Gesagten liegt der gesetzliche Gerichtsstand für die A. und B. zur Last gelegten Straftaten im Kanton Zürich.</w:t>
      </w:r>
    </w:p>
    <w:p>
      <w:r>
        <w:rPr>
          <w:b/>
        </w:rPr>
        <w:t>E. 3.1</w:t>
      </w:r>
    </w:p>
    <w:p>
      <w:r>
        <w:t>Der Kanton Zürich liess sich vor der Beschwerdekammer nicht vernehmen. Soweit er an seiner Stellungnahme im Rahmen des Meinungsaustauschs festhalten wollte, wonach unabhängig vom gesetzlichen Gerichtsstand «Eini- ges» für eine Zuständigkeit im Kanton Basel-Landschaft spreche (s. supra lit. J), sei Folgendes festgehalten:</w:t>
      </w:r>
    </w:p>
    <w:p>
      <w:r>
        <w:t>- 11 -</w:t>
      </w:r>
    </w:p>
    <w:p>
      <w:r>
        <w:rPr>
          <w:b/>
        </w:rPr>
        <w:t>E. 3.2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Die Überlegungen, welche den gesetzlichen Gerichtsstand als unzweckmäs- sig erscheinen lassen, müssen sich gebieterisch aufdrängen. Überdies kann ein Kanton entgegen dem gesetzlichen Gerichtsstand nur für zuständig er- klärt werden resp. sich selber für zuständig erklären, wenn dort tatsächlich ein örtlicher Anknüpfungspunkt besteht (TPF 2019 82 E. 2.3; TPF 2018 38 E. 3.1; TPF 2017 170 E. 3.1; TPF 2012 66 E. 3.1; TPF 2011 178 E. 3.1).</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 fallen (BGE 129 IV 202 E. 2; TPF 2018 38 E. 3.2). Das Übergewicht muss dabei so offensichtlich und bedeutsam sein, dass sich das Abweichen vom gesetzlichen Gerichtsstand geradezu aufdrängt. Fehlt es bereits an einer grösseren Zahl der in Frage stehenden Fälle, so drängt sich ein Abweichen vom gesetzlichen Gerichtsstand – sofern nicht weitere triftige prozessökono- mische Gesichtspunkte ernsthaft in Betracht gezogen werden müssen – nicht auf (BGE 129 IV 202 E. 2 S. 203 f.; TPF 2018 38 E. 3.2).</w:t>
      </w:r>
    </w:p>
    <w:p>
      <w:r>
        <w:rPr>
          <w:b/>
        </w:rPr>
        <w:t>E. 3.3</w:t>
      </w:r>
    </w:p>
    <w:p>
      <w:r>
        <w:t>Auch der Kanton Zürich hat schon während des Meinungsaustauschs aner- kannt, dass es bereits an einer grösseren Anzahl von Delikten fehlt, um über den Schwerpunkt der deliktischen Tätigkeit vom gesetzlichen Gerichtsstand abzuweichen (s. supra lit. J). Die von ihm vorgebrachte Inhaftierung der Be- schuldigten im Kanton Basel-Landschaft ist in diesem Zusammenhang eben- falls nicht von Bedeutung. Triftige Gründe, die ein Abweichen vom gesetzli- chen Gerichtsstand gebieterisch aufdrängen würden, wurden zusammenfas- send nicht vorgetragen und sind auch nicht ersichtlich.</w:t>
      </w:r>
    </w:p>
    <w:p>
      <w:r>
        <w:rPr>
          <w:b/>
        </w:rPr>
        <w:t>E. 4</w:t>
      </w:r>
    </w:p>
    <w:p>
      <w:r>
        <w:t>Nach dem Gesagten sind die Strafbehörden des Kantons Zürich für berech- tigt und verpflichtet zu erklären, die A. und B. zur Last gelegten Straftaten zu verfolgen und zu beurteilen.</w:t>
      </w:r>
    </w:p>
    <w:p>
      <w:r>
        <w:t>- 12 -</w:t>
      </w:r>
    </w:p>
    <w:p>
      <w:r>
        <w:rPr>
          <w:b/>
        </w:rPr>
        <w:t>E. 5</w:t>
      </w:r>
    </w:p>
    <w:p>
      <w:r>
        <w:t>Praxisgemäss ist keine Gerichtsgebühr zu erheben (vgl. Art. 423 Abs. 1 StPO).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