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BG.2023.24 vom 6. Juli 2023</w:t>
      </w:r>
    </w:p>
    <w:p>
      <w:r>
        <w:t>Bundesstrafgericht, 2023-07-06, DE</w:t>
      </w:r>
    </w:p>
    <w:p>
      <w:r>
        <w:rPr>
          <w:b/>
        </w:rPr>
        <w:t xml:space="preserve">Quelle: </w:t>
      </w:r>
      <w:r>
        <w:t>https://mcp.opencaselaw.ch/entscheid/bstger_BG.2023.24</w:t>
      </w:r>
    </w:p>
    <w:p>
      <w:r>
        <w:t>FR: TPF BG.2023.24 du 6 juillet 2023</w:t>
      </w:r>
    </w:p>
    <w:p>
      <w:r>
        <w:t>IT: TPF BG.2023.24 del 6 luglio 2023</w:t>
      </w:r>
    </w:p>
    <w:p>
      <w:pPr>
        <w:pStyle w:val="Heading2"/>
      </w:pPr>
      <w:r>
        <w:t>Regeste</w:t>
      </w:r>
    </w:p>
    <w:p>
      <w:r>
        <w:t>Gerichtsstandskonflikt (Art. 40 Abs. 2 StPO)</w:t>
      </w:r>
    </w:p>
    <w:p>
      <w:pPr>
        <w:pStyle w:val="Heading2"/>
      </w:pPr>
      <w:r>
        <w:t>Erwägungen</w:t>
      </w:r>
    </w:p>
    <w:p>
      <w:r>
        <w:rPr>
          <w:b/>
        </w:rPr>
        <w:t>E. 1</w:t>
      </w:r>
    </w:p>
    <w:p>
      <w:r>
        <w:t>Die Eintretensvoraussetzungen (vgl. Beschluss des Bundesstrafgerichts BG.2014.7 vom 21. März 2014 E. 1) sind vorliegend erfüllt.</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(TPF 2016 180 E. 2.2).</w:t>
      </w:r>
    </w:p>
    <w:p>
      <w:r>
        <w:t>- 4 -</w:t>
      </w:r>
    </w:p>
    <w:p>
      <w:r>
        <w:rPr>
          <w:b/>
        </w:rPr>
        <w:t>E. 3.1</w:t>
      </w:r>
    </w:p>
    <w:p>
      <w:r>
        <w:t>Für die Verfolgung und Beurteilung einer Straftat sind die Behörden des Or- tes zuständig, an dem die Tat verübt worden ist (Art. 31 Abs. 1 StPO Ge- richtsstand des Tatortes). Der Ort, an dem die Tat verübt worden ist, befindet sich dort, wo der Täter gehandelt hat (BGE 98 IV 60 E. 1 S. 62; 86 IV 222 E. 1; siehe zuletzt u.a. den Beschluss des Bundesstrafgerichts BG.2022.31 vom 28. September 2022 E. 2.1). In der Literatur wird dieser Ort u.a. als Handlungsort (BAUMGARTNER, Die Zuständigkeit im Strafverfahren, 2014, S. 60) oder als Ausführungsort bezeichnet (SCHWERI/BÄNZIGER, Inter- kantonale Gerichtsstandsbestimmung in Strafsachen, 2. Aufl. 2004, S. 26 N. 65). Der Ausführungsort geht als primärer Gerichtsstand allen anderen Gerichtsständen vor (BAUMGARTNER, a.a.O., S. 58; SCHWERI/BÄNZIGER, a.a.O., S. 24).</w:t>
      </w:r>
    </w:p>
    <w:p>
      <w:r>
        <w:rPr>
          <w:b/>
        </w:rPr>
        <w:t>E. 3.2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des Betruges ist die Täuschung des Opfers. Die Täuschung ist eine unrichtige Erklärung über Tatsachen, die darauf gerichtet ist, bei einem andern eine von der Wirklichkeit abweichende Vorstellung hervorzurufen (BGE 140 IV 11 E. 2.3.2; 135 IV 76 E. 5.1). Als Tatsachen, über welche getäuscht werden kann, gelten auch innere Tatsachen, wie etwa Leistungs- wille und Erfüllungsbereitschaft. Die Täuschung im Sinne von Art. 146 Abs. 1 StGB kann auch durch konkludentes Handeln erfolgen, indem der Täter die Unwahrheit nicht ausdrücklich zum Ausdruck bringt, sondern durch sein Ver- halten miterklärt (BGE 140 IV 11 E. 2.3.2; 127 IV 163 E. 2b; Urteil des Bun- desgerichts 6B_316/2009 vom 21. Juli 2009 E. 2.4 in: AJP 2009 S. 1486). Eine konkludente Täuschung liegt vor, wenn dem Verhalten des Täters im sozialen Verkehr ein Erklärungswert zukommt (Urteil des Bundesgerichts 6B_1231/2016 vom 22. Juni 2017 E. 7.5). Wesentlich ist, wie der Adressat die Erklärung nach der Verkehrsanschauung vernünftigerweise verstehen durfte. Dementsprechend erklärt, wer einen Vertrag eingeht, in der Regel konkludent die innere Tatsache, dass er gewillt ist, die Leistung zu erbringen (BGE 125 IV 124 E. 2d; zum Ganzen BGE 147 IV 73 E. 3.1).</w:t>
      </w:r>
    </w:p>
    <w:p>
      <w:r>
        <w:rPr>
          <w:b/>
        </w:rPr>
        <w:t>E. 3.3.1</w:t>
      </w:r>
    </w:p>
    <w:p>
      <w:r>
        <w:t>Für die Bestimmung des primären Gerichtsstands massgebend ist, wo der angezeigte Betrug ausgeführt bzw. wo in diesem Zusammenhang die vor- geworfenen täuschenden Vertragsverhandlungen ohne Erfüllungswillen</w:t>
      </w:r>
    </w:p>
    <w:p>
      <w:r>
        <w:t>- 5 -</w:t>
      </w:r>
    </w:p>
    <w:p>
      <w:r>
        <w:t>erfolgt sein sollen. Aktenkundig ist, dass wohl die angezeigte Person, B., bei den nachgenannten Verträgen, folgende Ortschaften als Ort der Unter- zeichnung angegeben hat: • Aktionärsbindungsvertrag vom 30. August 2022 (Unterschriftsort Ba- sel) • Term Sheet for a financing round of C. AG vom 26. September 2022 (Unterschriftsort Antwerpen) • Arbeitsvertrag Schlüsselperson 1 vom 25./28. Mai 2022 (Unterschrifts- ort B.: Basel) • Arbeitsvertrag Schlüsselperson 2 vom 25./26. Juli 2022 (Unterschrifts- ort B.: Basel).</w:t>
      </w:r>
    </w:p>
    <w:p>
      <w:r>
        <w:t>Die Ortsangabe der im Mai, Juli und August 2022 durch B. angebrachten Unterschriften deutet darauf hin, dass er mehrere im Zusammenhang mit dem angezeigten Sachverhalt stehende Handlungen in Basel ausgeführt hat. Weitere vom Anzeigeerstatter eingereichte Verträge sind nur Entwürfe ohne Unterschrift. Ein Teil der angeblich täuschenden Vertragsverhandlun- gen scheint über E-Mail abgewickelt worden zu sein. Wo das persönliche Treffen vom 29. Juni 2022 stattgefunden haben soll, führt die Strafanzeige nicht aus, die eingereichten Kopien der in der Zeit vom 30. Mai bis 8. Juni 2022 ausgetauschten E-Mails (Beilage 13 der Strafanzeige) nennen Antwer- pen als Treffpunkt.</w:t>
      </w:r>
    </w:p>
    <w:p>
      <w:r>
        <w:rPr>
          <w:b/>
        </w:rPr>
        <w:t>E. 3.3.2</w:t>
      </w:r>
    </w:p>
    <w:p>
      <w:r>
        <w:t>Basel ist somit der einzige bekannte Handlungsort in der Schweiz. Es mag weitere geben, der Kanton Basel-Stadt bringt denn auch vor, täuschende Vertragsverhandlungen könnten an weiteren Orten geschehen sein. Anhalts- punkte dafür, dass die angezeigte Person Tathandlungen im Kanton Glarus oder im Kanton Schwyz vorgenommen haben könnte, sind den Akten jedoch nicht zu entnehmen. Der Gerichtsstand ist somit an den bekannten Hand- lungsort in Basel anzuknüpfen.</w:t>
      </w:r>
    </w:p>
    <w:p>
      <w:r>
        <w:rPr>
          <w:b/>
        </w:rPr>
        <w:t>E. 3.4</w:t>
      </w:r>
    </w:p>
    <w:p>
      <w:r>
        <w:t>Damit sind die Strafbehörden des Kantons Basel-Stadt berechtigt und ver- pflichtet, die B. vorgeworfenen Straftaten zu verfolgen und zu beurteilen.</w:t>
      </w:r>
    </w:p>
    <w:p>
      <w:r>
        <w:rPr>
          <w:b/>
        </w:rPr>
        <w:t>E. 4</w:t>
      </w:r>
    </w:p>
    <w:p>
      <w:r>
        <w:t>Praxisgemäss ist bei interkantonalen Gerichtsstandskonflikten in der Regel (SCHWERI/BÄNZIGER, a.a.O., S. 208 f.) keine Gerichtsgebühr zu erheben (vgl. Art. 423 Abs. 1 StPO i.V.m. Art. 66 Abs. 4 BGG per analogiam; vgl. schon BGE 87 IV 145).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