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BG.2023.17 vom 9. Mai 2023</w:t>
      </w:r>
    </w:p>
    <w:p>
      <w:r>
        <w:t>Bundesstrafgericht, 2023-05-09, DE</w:t>
      </w:r>
    </w:p>
    <w:p>
      <w:r>
        <w:rPr>
          <w:b/>
        </w:rPr>
        <w:t xml:space="preserve">Quelle: </w:t>
      </w:r>
      <w:r>
        <w:t>https://mcp.opencaselaw.ch/entscheid/bstger_BG.2023.17</w:t>
      </w:r>
    </w:p>
    <w:p>
      <w:r>
        <w:t>FR: TPF BG.2023.17 du 9 mai 2023</w:t>
      </w:r>
    </w:p>
    <w:p>
      <w:r>
        <w:t>IT: TPF BG.2023.17 del 9 maggio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w:t>
      </w:r>
    </w:p>
    <w:p>
      <w:r>
        <w:t>- 4 -</w:t>
      </w:r>
    </w:p>
    <w:p>
      <w:r>
        <w:t>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Das Untersuchungsamt Uznach ist berechtigt, den Gesuchsteller bei inter- kantonalen Gerichtsstandskonflikten vor der Beschwerdekammer zu vertre- ten (Art. 24 des Einführungsgesetzes zur Schweizerischen Straf- und Ju- gendstrafprozessordnung des Kantons St. Gallen vom 3. August 2010 [EG- StPO/SG; sGS 962.1]). Auf Seiten des Gesuchsgegners steht diese Befug- nis der Oberstaatsanwaltschaft des Kantons Aargau zu (§ 20 des Einfüh- rungsgesetzes zur Schweizerischen Strafprozessordnung des Kantons Aar- gau vom 16. März 2010 [EG StPO/AG; SAR 251.200]).</w:t>
      </w:r>
    </w:p>
    <w:p>
      <w:r>
        <w:rPr>
          <w:b/>
        </w:rPr>
        <w:t>E. 1.3.1</w:t>
      </w:r>
    </w:p>
    <w:p>
      <w:r>
        <w:t>Der Gesuchsgegner begründet seinen Nichteintretensantrag sinngemäss damit, dass der Gesuchsteller auch nach der ersten Ablehnung der Zustän- digkeit durch die OStA AG vom 23. Dezember 2022 den von dieser geltend gemachten Hinweisen auf eine mutmasslich bereits vor Juni/Juli 2021 vor- liegende deliktische Tätigkeit von B. nicht nachgegangen sei. Die erneute Gerichtsstandsanfrage an die OStA AG vom 31. März 2023 beruhe somit nicht auf neuen Tatsachen, weshalb der Gesuchsteller sein Gesuch an die Beschwerdekammer bereits innerhalb von zehn Tagen nach der ersten Ab- lehnung einer Verfahrensübernahme durch die OStA AG am 23. Dezember 2022 hätten stellen sollen (act. 3, Ziff. I).</w:t>
      </w:r>
    </w:p>
    <w:p>
      <w:r>
        <w:rPr>
          <w:b/>
        </w:rPr>
        <w:t>E. 1.3.2</w:t>
      </w:r>
    </w:p>
    <w:p>
      <w:r>
        <w:t>Diesbezüglich trifft es zu, dass die OStA AG in ihrem Schreiben vom 23. De- zember 2022 an das Untersuchungsamt Uznach ausführte, es bestünden Anhaltspunkte für eine deliktische Tätigkeit vor dem 1. September 2021, wel- chen im Rahmen des laufenden Sammelverfahrens nachzugehen sei. Dar- über hinaus aber verwies die OStA AG auch noch auf ausstehende Auswer- tungen (von Bankbelegen, Mobiltelefonen oder den Fahrtstrecken der Be- schuldigten), welche weitere Hinweise auf die deliktische Tätigkeit und den</w:t>
      </w:r>
    </w:p>
    <w:p>
      <w:r>
        <w:t>- 5 -</w:t>
      </w:r>
    </w:p>
    <w:p>
      <w:r>
        <w:t>entsprechenden Zeitraum ergeben würden. Mit Hinweis auf die vom Gesuch- steller in den Akten genannten «24 mehr oder weniger potentiell geeignete Tätbestände» im Kanton St. Gallen hielt sie zudem fest, nach Abschluss des Sammelverfahrens müsste gegebenenfalls auch die Frage nach einem Schwergewicht der deliktischen Tätigkeit in einem der betroffenen Kantone gestellt werden (act. 1.0, GS/5).</w:t>
      </w:r>
    </w:p>
    <w:p>
      <w:r>
        <w:rPr>
          <w:b/>
        </w:rPr>
        <w:t>E. 1.3.3</w:t>
      </w:r>
    </w:p>
    <w:p>
      <w:r>
        <w:t>Den vorliegenden Akten kann entnommen werden, dass im Zeitraum zwi- schen den beiden fraglichen Gerichtsstandsanfragen des Gesuchstellers an die OStA AG noch weitere Auswertungen und Ermittlungshandlungen erfolgt sind (z.B. act. 1.0, A/13 ff., E/1/5, E/1/6, E/2/5, E/2/6, S/9/1), welche schliess- lich zum Nachtrag vom 19. April 2023 zum Sammelbericht Ermittlungsver- fahren (act. 1.0, A/21) und zum entsprechend aktualisierten Deliktsverzeich- nis führten (act. 1.0, A/22 bzw. act. 1, S. 3 f.).</w:t>
      </w:r>
    </w:p>
    <w:p>
      <w:r>
        <w:rPr>
          <w:b/>
        </w:rPr>
        <w:t>E. 1.3.4</w:t>
      </w:r>
    </w:p>
    <w:p>
      <w:r>
        <w:t>Zum mutmasslichen Tatvorgehen von B. und D. hielt die Kantonspolizei St. Gallen in ihrem Nachtrag vom 19. April 2023 zum Sammelbericht Ermitt- lungsverfahren (act. 1.0, A/21, S. 20 f.) u.a. fest, es sei davon auszugehen, dass sich die beiden seit Jahren regelmässig in der Schweiz aufhalten, um Handel mit Klavieren und Fahrzeugen zu betreiben. Die beiden dürften die Anwesenheit in der Schweiz aber auch genutzt haben, um Buntmetall-Dieb- stähle zu begehen. Die dafür geeigneten Örtlichkeiten dürften sie zuvor um- fassend ausgekundschaftet haben. In der Schweiz hätten sie sich vorwie- gend mit gemieteten Fahrzeugen bewegt.</w:t>
      </w:r>
    </w:p>
    <w:p>
      <w:r>
        <w:rPr>
          <w:b/>
        </w:rPr>
        <w:t>E. 1.3.5</w:t>
      </w:r>
    </w:p>
    <w:p>
      <w:r>
        <w:t>Zu den vom Gesuchsgegner angeführten weiteren Hinweisen auf deliktische Tätigkeit, welchen der Gesuchsteller nicht nachgegangen sei, hält Letzterer zusammengefasst fest, diese beruhten auf rein hypothetischen Überlegun- gen und Spekulationen, welche von keinerlei konkreten Hinweisen bzw. kei- nem konkreten Tatverdacht gestützt würden (act. 1, S. 6 f.).</w:t>
      </w:r>
    </w:p>
    <w:p>
      <w:r>
        <w:t>Mit Nachtrag vom 19. April 2023 zum Sammelbericht Ermittlungsverfahren hielt die Kantonspolizei St. Gallen u.a. fest, dass die erhobenen Videodaten und weitere Ermittlungen den Schluss zulassen, dass E. am 8. und 14. Sep- tember 2022 den beiden mit ihm verwandten Beschuldigten beim Entladen von kupferhaltigem Buntmetall bei der Firma F. AG behilflich war. Diese Per- son sei im Kanton St. Gallen im August 2015 im Rahmen einer Erkenntnis- anfrage der Schaffhauser Polizei zu einem Buntmetall-Diebstahl in U./SH abgeklärt worden. Die entsprechenden Abklärungen zu E. und seinem da- maligen (mutmasslichen) Komplizen G. seien jedoch negativ verlaufen. Ein Bezug von B. und/oder D. zu diesem Delikt könne im Nachgang nicht fest- gestellt werden. Hinsichtlich der vorliegenden Deliktsserie könne die Rolle</w:t>
      </w:r>
    </w:p>
    <w:p>
      <w:r>
        <w:t>- 6 -</w:t>
      </w:r>
    </w:p>
    <w:p>
      <w:r>
        <w:t>von E. nicht zugeordnet werden. Das Aussageverhalten von B. und D. lasse den Schluss zu, dass es sich bei E. um einen Komplizen handeln könnte. Spurentechnisch könne ihm bisher aber keine Beteiligung an den eingangs erwähnten Diebstählen nachgewiesen werden (vgl. hierzu act. 1.0, A/21, S. 13 ff.).</w:t>
      </w:r>
    </w:p>
    <w:p>
      <w:r>
        <w:t>Zutreffend ist, dass B. offenbar bereits in den Jahren vor dem Deliktszeit- raum mehrmals Sachentransportanhänger bei der Firma H. AG gemietet hatte bzw. dass er ein langjähriger Kunde der Autovermietung I. (gewesen) sei (act. 1.0, A/9, S. 9). Der Gesuchsteller hält hierzu fest, dass allfällige frühere Mieten von Fahrzeugen auch mit den oben erwähnten legalen Tätig- keiten von B. in Verbindung stehen könnten. Die bekannten Lieferwagenmie- ten seien mit bisher ungeklärten Kupferdiebstählen mit unbekannter Täter- schaft abgeglichen worden. Es hätten sich hierbei keine noch offenen Tat- bestände ergeben, welche mit dem Zeitraum und der Örtlichkeit übereinstim- men würden (act. 1, S. 6).</w:t>
      </w:r>
    </w:p>
    <w:p>
      <w:r>
        <w:t>Entsprechendes gilt auch für die Übernachtungen von B. und D. im Hotel J. (erstmals in der Nacht vom 26. auf den 27. Januar 2021; siehe act. 1.0, A/21, S. 17). Konnten die Strafverfolgungsbehörden einzelne dieser verschiede- nen Aufenthalte in der Schweiz nicht mit konkreten Straftaten in Verbindung bringen, so liegt in einer Übernachtung im Hotel alleine ebenfalls noch kein Indiz für Straftaten im entsprechenden Zeitraum. Dem geschilderten Tatvor- gehen (siehe E. 1.3.4) zufolge können Übernachtungen vor dem 28. Juni 2021 ebenso gut auf Anwesenheiten im Zusammenhang mit legalen Tätig- keiten oder aber auf Auskundschaftungen im Hinblick auf spätere Straftaten zurückzuführen sein. Dass vom 11. bis 13. Juli 2022 schliesslich ein Fami- lienzimmer gebucht worden sein soll und auf dem Mobiltelefon von D. ein am 12. Juli 2022 in einem Lieferwagen gemachtes Foto von B. und D. mit E. sichergestellt wurde, ist für die vorliegende Gerichtsstandsfrage nicht von Bedeutung (vgl. hierzu unten E. 3.2.3).</w:t>
      </w:r>
    </w:p>
    <w:p>
      <w:r>
        <w:rPr>
          <w:b/>
        </w:rPr>
        <w:t>E. 1.3.6</w:t>
      </w:r>
    </w:p>
    <w:p>
      <w:r>
        <w:t>Die vom Gesuchsgegner genannten Hinweise auf deliktische Tätigkeit vor dem 28. Juni 2021 bilden nach dem Gesagten für sich alleine keine ernst- haften Indizien, dass B. und D. andere als die ihnen momentan zur Last ge- legten Straftaten begangen haben könnten. Entscheidend ist in dieser Hin- sicht, dass die Zeiträume bekannter Anwesenheiten der Beschuldigten in der Schweiz keinen konkreten Straftaten zugeordnet werden können. Für wei- tere diesbezügliche Ermittlungsansätze finden sich in den Akten keine ernst- haften Stützen. Die entsprechenden Erwägungen des Gesuchsgegners be- ruhen letztlich überwiegend auf Spekulation.</w:t>
      </w:r>
    </w:p>
    <w:p>
      <w:r>
        <w:t>- 7 -</w:t>
      </w:r>
    </w:p>
    <w:p>
      <w:r>
        <w:rPr>
          <w:b/>
        </w:rPr>
        <w:t>E. 1.4</w:t>
      </w:r>
    </w:p>
    <w:p>
      <w:r>
        <w:t>Nach dem Gesagten lagen zwischen den beiden Gerichtsstandsanfragen des Gesuchstellers an die OStA AG noch weitere (vom Gesuchsgegner ex- plizit verlangte) Ermittlungshandlungen der Behörden, mit welchen das Sam- melverfahren abgeschlossen werden konnte. Insofern lagen entgegen den Vorbringen des Gesuchsgegners auch neue Erkenntnisse vor, womit dem Gesuchsteller nicht zum Vorwurf gemacht werden kann, er hätte bereits im Anschluss an das Schreiben der OStA AG vom 23. Dezember 2022 die Be- schwerdekammer anrufen sollen. Die vom Gesuchsgegner erwähnten Hin- weise auf eine frühere deliktische Tätigkeit der Beschuldigten enthalten zu- dem keine ernsthaften Anhaltspunkte für die Notwendigkeit weiterer Ermitt- lungen im Rahmen des vorliegenden Sammelverfahrens. Die Gerichts- standssache erweist sich als spruchreif. Auf das Gesuch ist einzutreten.</w:t>
      </w:r>
    </w:p>
    <w:p>
      <w:r>
        <w:rPr>
          <w:b/>
        </w:rPr>
        <w:t>E. 2</w:t>
      </w:r>
    </w:p>
    <w:p>
      <w:r>
        <w:t>Zur Gerichtsstandsfrage selbst macht der Gesuchsgegner in erster Linie gel- tend, die mit der schwersten Strafe bedrohte Tat habe sich im Kanton St. Gallen ereignet, ermittle dieser doch wegen bandenmässig begangenem Diebstahl, währenddem zu den im Kanton Aargau verübten Diebstählen keine Hinweise auf eine bandenmässige Tatbegehung durch B. und D. be- stünden (act. 3, Ziff. II.A).</w:t>
      </w:r>
    </w:p>
    <w:p>
      <w:r>
        <w:rPr>
          <w:b/>
        </w:rPr>
        <w:t>E. 3.1.1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BG.2022.18 vom 24. Oktober 2022 E. 2.1, zur Publikation vorgesehen; Beschlüsse des Bun- desstrafgerichts BG.2023.1 vom 2. März 2023 E. 3.1.1; BG.2022.29 vom 21. November 2022 E. 3.3; jeweils m.w.H.).</w:t>
      </w:r>
    </w:p>
    <w:p>
      <w:r>
        <w:t>- 8 -</w:t>
      </w:r>
    </w:p>
    <w:p>
      <w:r>
        <w:rPr>
          <w:b/>
        </w:rPr>
        <w:t>E. 3.1.2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abzustellen bzw. das schwe- rere Delikt anzunehmen ist (TPF 2021 167 E. 3.2.3; TPF 2019 82 E. 2.4; TPF 2019 52 E. 2.1 S. 55 f.; TPF 2019 28 E. 2.2 S. 31; jeweils m.w.H.).</w:t>
      </w:r>
    </w:p>
    <w:p>
      <w:r>
        <w:rPr>
          <w:b/>
        </w:rPr>
        <w:t>E. 3.2.1</w:t>
      </w:r>
    </w:p>
    <w:p>
      <w:r>
        <w:t>Nach der bundesgerichtlichen Rechtsprechung ist Bandenmässigkeit anzu- nehmen, wenn zwei oder mehr Täter sich mit dem ausdrücklich oder konklu- dent geäusserten Willen zusammenfinden, inskünftig zur Verübung mehre- rer selbständiger im Einzelnen noch unbestimmter Straftaten zusammenzu- wirken. Bandenmässige Tatbegehung ist nur anzunehmen, wenn der Wille der Täter auf die gemeinsame Verübung einer Mehrzahl von Delikten gerich- tet ist (vgl. BGE 147 IV 176 E. 2.4.2 S. 181 m.w.H.). Als bandenmässig kön- nen dementsprechend nur Delikte gelten, welche tatsächlich von mehreren Tätern verübt wurden (vgl. hierzu die Beschlüsse des Bundesstrafgerichts BG.2017.22 vom 9. Oktober 2017 E. 2.4; BG.2014.18 vom 21. August 2014 E. 2.2; BG.2013.8 vom 30. April 2013 E. 2.2).</w:t>
      </w:r>
    </w:p>
    <w:p>
      <w:r>
        <w:rPr>
          <w:b/>
        </w:rPr>
        <w:t>E. 3.2.2</w:t>
      </w:r>
    </w:p>
    <w:p>
      <w:r>
        <w:t>Der Gesuchsteller bringt vor, es bestünde der dringende Verdacht, wonach B. und D. den Diebstahl in Z. in der Nacht vom 9. auf den 10. Juli 2021 ge- meinsam verübt haben. Ausgehend von dieser Annahme und mit Blick auf die übrigen Straftaten wäre auch dieser Diebstahl als bandenmässig began- genes Delikt zu qualifizieren. Beim fraglichen Diebstahl hinterliess B. am Tat- ort seine DNA. Zudem konnte er aufgrund der Bilder der Überwachungska- mera identifiziert werden. Auf den Bildern der Überwachungskamera ist wei- ter ersichtlich, dass B. von einer zweiten Person begleitet wurde. Auf den entsprechenden Bildern kann nicht erkannt werden, ob es sich bei der zwei- ten Person um D. handelt (siehe u.a. act. 3.1). Aus Sicht des Gesuchstellers sprechen jedoch verschiedene Indizien für eine Beteiligung von D. auch an diesem Diebstahl. Namentlich die Tatsache, dass B. und D. vom 9. bis 11. Juli 2021 gemeinsam im Hotel J. einquartiert waren (siehe act. 1.0, A/21, S. 17), verdichtet den Verdacht einer gemeinsamen Tatbegehung durch die beiden Beschuldigten. Der identische modus operandi legt weiter nahe, dass</w:t>
      </w:r>
    </w:p>
    <w:p>
      <w:r>
        <w:t>- 9 -</w:t>
      </w:r>
    </w:p>
    <w:p>
      <w:r>
        <w:t>dieselbe Tätergruppierung auch für den am selben Ort verübten Einbruch- diebstahl im Zeitraum vom 28. Juni bis 6. Juli 2021 verantwortlich zeichnet. Den Akten kann hierzu entnommen werden, dass B. und D. auch vom 28. bis 29. Juni 2021 im Hotel J. eingemietet waren (siehe act. 1.0, A/21, S. 17). Anders als der Gesuchsgegner in act. 3, Ziff. II.A ausführt und im Gegensatz zu den bereits erwähnten, früheren Übernachtungen der beiden Beschuldig- ten im Hotel J. lassen sich diese beiden Hotelaufenthalte gerade in zeitlicher aber auch in räumlicher Hinsicht sehr wohl zu konkreten Straftaten (zu den beiden Einbruchdiebstählen in Z.) in Verbindung stellen. Diese Erkenntnisse legen nahe, dass auch die beiden in Z. verübten Einbruchdiebstähle (zumin- dest aber der zweite davon) ebenfalls bandenmässig begangen worden sind.</w:t>
      </w:r>
    </w:p>
    <w:p>
      <w:r>
        <w:rPr>
          <w:b/>
        </w:rPr>
        <w:t>E. 3.2.3</w:t>
      </w:r>
    </w:p>
    <w:p>
      <w:r>
        <w:t>Aufgrund der Akten besteht demgegenüber kein sachlicher Konnex zwi- schen der vorliegend zur Diskussion stehenden Einbruchserie und dem al- lenfalls durch E. (als möglichem Komplizen der beiden vorliegend Beschul- digten) in Mittäterschaft mit G. im Jahr 2015 in U. verübten Diebstahl. Dieses Delikt sowie die mögliche Beteiligung von E. an den eingangs erwähnten, B. und D. zur Last gelegten Straftaten sind demnach für die Entscheidung der aufgeworfenen Gerichtsstandsfrage nicht von Relevanz.</w:t>
      </w:r>
    </w:p>
    <w:p>
      <w:r>
        <w:rPr>
          <w:b/>
        </w:rPr>
        <w:t>E. 3.3</w:t>
      </w:r>
    </w:p>
    <w:p>
      <w:r>
        <w:t>Nach dem zuvor Ausgeführten liegt der gesetzliche Gerichtsstand hinsicht- lich der B. und D. zur Last gelegten Straftaten gestützt auf Art. 33 Abs. 2 und Art. 34 Abs. 1 StPO im Kanton Aargau.</w:t>
      </w:r>
    </w:p>
    <w:p>
      <w:r>
        <w:rPr>
          <w:b/>
        </w:rPr>
        <w:t>E. 4</w:t>
      </w:r>
    </w:p>
    <w:p>
      <w:r>
        <w:t>Den Akten sind keine Gründe zu entnehmen, welche vorliegend ein Abwei- chen vom gesetzlichen Gerichtsstand aufdrängen würden. Namentlich be- gründet die Durchführung eines Sammelverfahrens durch einen Kanton keine Anerkennung des Gerichtsstandes (vgl. hierzu u.a. den Beschluss des Bundestrafgerichts BG.2012.49 vom 20. Dezember 2012 E. 3 mit Hinweis). Das Gesuch ist demnach gutzuheissen und es sind die Strafbehörden des Kantons Aargau für berechtigt und verpflichtet zu erklären, die B. und D. zur Last gelegten Straftaten zu verfolgen und zu beurteilen.</w:t>
      </w:r>
    </w:p>
    <w:p>
      <w:r>
        <w:rPr>
          <w:b/>
        </w:rPr>
        <w:t>E. 5</w:t>
      </w:r>
    </w:p>
    <w:p>
      <w:r>
        <w:t>Praxisgemäss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