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BG.2023.15 vom 3. Mai 2023</w:t>
      </w:r>
    </w:p>
    <w:p>
      <w:r>
        <w:t>Bundesstrafgericht, 2023-05-03, DE</w:t>
      </w:r>
    </w:p>
    <w:p>
      <w:r>
        <w:rPr>
          <w:b/>
        </w:rPr>
        <w:t xml:space="preserve">Quelle: </w:t>
      </w:r>
      <w:r>
        <w:t>https://mcp.opencaselaw.ch/entscheid/bstger_BG.2023.15</w:t>
      </w:r>
    </w:p>
    <w:p>
      <w:r>
        <w:t>FR: TPF BG.2023.15 du 3 mai 2023</w:t>
      </w:r>
    </w:p>
    <w:p>
      <w:r>
        <w:t>IT: TPF BG.2023.15 del 3 maggio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w:t>
      </w:r>
    </w:p>
    <w:p>
      <w:r>
        <w:t>- 4 -</w:t>
      </w:r>
    </w:p>
    <w:p>
      <w:r>
        <w:t>(Art.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Generalstaatsanwaltschaft des Kantons Bern ist berechtigt, den Gesuch- steller bei interkantonalen Gerichtsstandskonflikten vor der Beschwerde- kammer zu vertreten (Art. 24 lit. b des Einführungsgesetzes zur Zivilprozess- ordnung, zur Strafprozessordnung und zur Jugendstrafprozessordnung des Kantons Bern vom 11. Juni 2009 [EG ZSJ/BE; BSG 271.1]). Auf Seiten des Gesuchsgegners steht diese Befugnis unter Vorbehalt einer Delegation grundsätzlich der Generalstaatsanwältin oder dem Generalstaatsanwalt des Kantons Freiburg zu (Art. 135 Abs. 2 des Justizgesetzes des Kantons Frei- burg vom 31. Mai 2010 [JG/FR; SGF 130.1]). Die übrigen Eintretensvoraus- setzungen geben zu keinen weiteren Bemerkungen Anlass, weshalb auf das Gesuch einzutreten ist.</w:t>
      </w:r>
    </w:p>
    <w:p>
      <w:r>
        <w:rPr>
          <w:b/>
        </w:rPr>
        <w:t>E. 2</w:t>
      </w:r>
    </w:p>
    <w:p>
      <w:r>
        <w:t>Zwischen den Parteien ist primär umstritten, ob aufgrund der Akten bezüg- lich der B. zur Last gelegten Delikte auch von einem Handlungsort im Kanton Freiburg auszugehen ist oder nicht (siehe u.a. act. 1, Ziff. III.3 sowie act. 1.7, S. 2). In zweiter Linie hält der Gesuchsteller dafür, der Gesuchsgegner habe seine Zuständigkeit vorliegend in konkludenter Weise anerkannt (act. 1, Ziff. III.4).</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Der Gerichtsstand der Prävention kann in- dessen nur in einem Kanton begründet werden, dem an sich in der</w:t>
      </w:r>
    </w:p>
    <w:p>
      <w:r>
        <w:t>- 5 -</w:t>
      </w:r>
    </w:p>
    <w:p>
      <w:r>
        <w:t>betreffenden Sache Gerichtsbarkeit zusteht, nicht aber in einem Kanton, dessen Behörden sich vorläufig mit einer Sache befassen, die (für sich allein betrachtet) in einem anderen Kanton verfolgt werden müsste (SCHWERI/BÄN- ZIGER, Interkantonale Gerichtsstandsbestimmung in Strafsachen, 2. Aufl. 2004, N. 155 m.w.H.).</w:t>
      </w:r>
    </w:p>
    <w:p>
      <w:r>
        <w:rPr>
          <w:b/>
        </w:rPr>
        <w:t>E. 3.2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TPF 2019 82 E. 2.4; TPF 2019 52 E. 2.1 S. 55 f.; TPF 2019 28 E. 2.2 S. 31; jeweils m.w.H.).</w:t>
      </w:r>
    </w:p>
    <w:p>
      <w:r>
        <w:rPr>
          <w:b/>
        </w:rPr>
        <w:t>E. 3.3</w:t>
      </w:r>
    </w:p>
    <w:p>
      <w:r>
        <w:t>Den Akten kann entnommen werden, dass die Strafverfolgungsbehörden des Gesuchsgegners B. bereits im Jahr 2020 verdächtigten, qualifizierte Wi- derhandlungen im Sinne des Art. 19 Abs. 2 des Bundesgesetzes vom 3. Ok- tober 1951 über die Betäubungsmittel und die psychotropen Stoffe (Betäu- bungsmittelgesetz, BetmG; SR 812.121) begangen zu haben. Wie eingangs erwähnt können den Akten des Gesuchsgegners an mehreren Stellen unter- schiedliche Angaben zu den diesbezüglichen Handlungsorten entnommen werden (siehe oben Sachverhalt, lit. A). Vorliegend von entscheidender Be- deutung ist damit, ob aufgrund der Aktenlage und der hierbei erhobenen Sachverhalte tatsächlich auch ein Handlungsort im Kanton Freiburg in Frage kommt oder nicht. Auf B. aufmerksam gemacht wurden die Behörden des Gesuchsgegners offenbar durch die Befragungen zweier in Freiburg wohn- hafter Konsumenten von Betäubungsmitteln. So gab D. anlässlich ihrer Be- fragung vom 22. Januar 2020 an, sie habe im Jahr 2017 von B. (alias A.) in Biel und in Solothurn gesamthaft 300 Gramm Heroin gekauft. Den Erkennt- nissen der Behörden zufolge sei das Facebook-Profil von A. zur weiteren Akquirierung von Abnehmern von Betäubungsmitteln genutzt worden. Der Beschuldigte sei aktiv in Bern, Biel, Solothurn und Grenchen. Auch Betäu- bungsmittelkonsumenten aus dem Kanton Freiburg würden sich bei ihm ein- decken. Für den Verkauf der Betäubungsmittel würde der Beschuldigte auch Mittelsmänner einsetzen. Sowohl D. als auch ihr Mitbewohner E. gaben an, sich die Betäubungsmittel im Kanton Bern zu beschaffen. Den Akten zufolge</w:t>
      </w:r>
    </w:p>
    <w:p>
      <w:r>
        <w:t>- 6 -</w:t>
      </w:r>
    </w:p>
    <w:p>
      <w:r>
        <w:t>ergeben sich demnach keine konkreten Hinweise auf deliktische Handlun- gen von B. im Kanton Freiburg selbst. Der einzige konkrete Bezug zu diesem Kanton in den Akten ergibt sich aufgrund des Wohnsitzes bzw. des Aufent- halts von Abnehmern der von B. verkauften Betäubungsmittel. Es trifft zwar zu, dass in vereinzelten Aktenstücken (zumeist in Formularen ohne weitere diesbezügliche Erklärungen) als Handlungsort auch Freiburg erwähnt wird. In tatsächlicher Hinsicht aber findet eine solche Annahme in den Akten keine Stütze. Auch der Gesuchsteller macht diesen Punkt betreffend keine weite- ren konkreten Erklärungen, obwohl es in erster Linie ihm obliegt, das Gesuch so zu verfassen, dass ihm ohne Durchsicht der kantonalen Akten die für die Bestimmung des Gerichtsstandes erforderlichen und wesentlichen Tatsa- chen entnommen werden können. Dabei hat der Gesuchsteller in kurzer, aber vollständiger Übersicht darzulegen, welche strafbaren Handlungen dem Beschuldigten vorgeworfen werden, wann und wo diese ausgeführt wurden und wo allenfalls der Erfolg eingetreten ist (vgl. hierzu u.a. den Beschluss des Bundesstrafgerichts BG.2022.35 vom 19. Dezember 2022 E. 3.2.2 m.w.H.). Sollte der Gesuchsteller einen Handlungsort im Kanton Freiburg aus dem Umstand ableiten wollen, dass der Beschuldigte über das Internet und soziale Netzwerke auch im Kanton Freiburg ansässige Kunden ange- worben haben soll, so wäre auch hier in erster Linie der Ort massgebend, wo der Beschuldigte die Tathandlung(en) ausgeführt hat (vgl. TPF 2017 170 E. 2.3.3). Fehlt es an einem nicht nur auf einer Hypothese beruhenden Hand- lungsort im Kanton Freiburg, so kommt ein dort liegender gesetzlicher Ge- richtsstand bzw. die Zuständigkeit von dessen Strafverfolgungsbehörden im vorliegenden Fall von Vornherein nicht in Frage. Konkret in Betracht kom- men nach dem oben Ausgeführten lediglich Handlungsorte in den Kantonen Solothurn und Bern. Nachdem die Behörden des Letztgenannten am 7. De- zember 2022 eine schon vorher geführte Untersuchung auf B. ausdehnten, liegt das forum praeventionis im Sinne von Art. 34 Abs. 1 Satz 2 StPO im Kanton Bern. Dass der Kanton Solothurn zuvor schon Verfolgungshandlun- gen vorgenommen habe, ergibt sich weder aus den vorliegenden Akten noch aus den Ausführungen des Gesuchstellers.</w:t>
      </w:r>
    </w:p>
    <w:p>
      <w:r>
        <w:rPr>
          <w:b/>
        </w:rPr>
        <w:t>E. 3.4</w:t>
      </w:r>
    </w:p>
    <w:p>
      <w:r>
        <w:t>Nach dem zuvor Ausgeführten liegt der gesetzliche Gerichtsstand hinsicht- lich der B. zur Last gelegten Straftaten gestützt auf Art. 34 Abs. 1 Satz 2 StPO im Kanton Bern.</w:t>
      </w:r>
    </w:p>
    <w:p>
      <w:r>
        <w:rPr>
          <w:b/>
        </w:rPr>
        <w:t>E. 4</w:t>
      </w:r>
    </w:p>
    <w:p>
      <w:r>
        <w:t>Entgegen dem gesetzlichen Gerichtsstand kann ein Kanton nur für zuständig erklärt werden resp. sich selber als zuständig erklären, wenn dort tatsächlich ein örtlicher Anknüpfungspunkt besteht (TPF 2019 82 E. 2.3; TPF 2018 38 E. 3.1 S. 41 f.; TPF 2012 66 E. 3.1 S. 67 f.; TPF 2011 178 E. 3.1 S. 180 f.;</w:t>
      </w:r>
    </w:p>
    <w:p>
      <w:r>
        <w:t>- 7 -</w:t>
      </w:r>
    </w:p>
    <w:p>
      <w:r>
        <w:t>vgl. in diesem Zusammenhang auch das Urteil des Bundesgerichts 6B_1208/2015 vom 14. März 2016 E. 3.2). Nach dem zuvor Ausgeführten fehlt es im Kanton Freiburg hinsichtlich der B. zur Last gelegten Delikte nicht nur an einem Handlungsort, sondern auch an einem anderweitigen – für ein allfälliges Abweichen vom gesetzlichen Gerichtsstand – erforderlichen örtli- chen Anknüpfungspunkt (vgl. hierzu die Kasuistik in BAUMGARTNER, Die Zu- ständigkeit im Strafverfahren, 2014, S. 358 f.). Bei dieser Ausgangslage kann auf diesen Punkt betreffende Weiterungen verzichtet werden (siehe auch BAUMGARTNER, a.a.O., S. 389).</w:t>
      </w:r>
    </w:p>
    <w:p>
      <w:r>
        <w:rPr>
          <w:b/>
        </w:rPr>
        <w:t>E. 5</w:t>
      </w:r>
    </w:p>
    <w:p>
      <w:r>
        <w:t>Nach dem Gesagten ist das Gesuch abzuweisen und es sind die Strafbehör- den des Kantons Bern für berechtigt und verpflichtet zu erklären, die B. zur Last gelegten Straftaten zu verfolgen und zu beurteilen.</w:t>
      </w:r>
    </w:p>
    <w:p>
      <w:r>
        <w:rPr>
          <w:b/>
        </w:rPr>
        <w:t>E. 6</w:t>
      </w:r>
    </w:p>
    <w:p>
      <w:r>
        <w:t>Praxisgemäss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