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BG.2023.14 vom 21. April 2023</w:t>
      </w:r>
    </w:p>
    <w:p>
      <w:r>
        <w:t>Bundesstrafgericht, 2023-04-21, FR</w:t>
      </w:r>
    </w:p>
    <w:p>
      <w:r>
        <w:rPr>
          <w:b/>
        </w:rPr>
        <w:t xml:space="preserve">Quelle: </w:t>
      </w:r>
      <w:r>
        <w:t>https://mcp.opencaselaw.ch/entscheid/bstger_BG.2023.14</w:t>
      </w:r>
    </w:p>
    <w:p>
      <w:r>
        <w:t>FR: TPF BG.2023.14 du 21 avril 2023</w:t>
      </w:r>
    </w:p>
    <w:p>
      <w:r>
        <w:t>IT: TPF BG.2023.14 del 21 aprile 2023</w:t>
      </w:r>
    </w:p>
    <w:p>
      <w:pPr>
        <w:pStyle w:val="Heading2"/>
      </w:pPr>
      <w:r>
        <w:t>Regeste</w:t>
      </w:r>
    </w:p>
    <w:p>
      <w:r>
        <w:t>Conflit de fors (art. 40 al. 2 CPP)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en fixation de for est irrecevable.</w:t>
      </w:r>
    </w:p>
    <w:p>
      <w:r>
        <w:rPr>
          <w:b/>
        </w:rPr>
        <w:t>E. 2</w:t>
      </w:r>
    </w:p>
    <w:p>
      <w:r>
        <w:t>La présente décision est rendue sans frais.</w:t>
      </w:r>
    </w:p>
    <w:p>
      <w:r>
        <w:t>Bellinzone, le 21 avril 2023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Ministère public du canton du Valais - Ministère public du canton de Genève</w:t>
      </w:r>
    </w:p>
    <w:p>
      <w:r>
        <w:t>Indication des voies de recours Il n’existe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