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BG.2023.13 vom 5. Juni 2023</w:t>
      </w:r>
    </w:p>
    <w:p>
      <w:r>
        <w:t>Bundesstrafgericht, 2023-06-05, DE</w:t>
      </w:r>
    </w:p>
    <w:p>
      <w:r>
        <w:rPr>
          <w:b/>
        </w:rPr>
        <w:t xml:space="preserve">Quelle: </w:t>
      </w:r>
      <w:r>
        <w:t>https://mcp.opencaselaw.ch/entscheid/bstger_BG.2023.13</w:t>
      </w:r>
    </w:p>
    <w:p>
      <w:r>
        <w:t>FR: TPF BG.2023.13 du 5 juin 2023</w:t>
      </w:r>
    </w:p>
    <w:p>
      <w:r>
        <w:t>IT: TPF BG.2023.13 del 5 giugno 2023</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2.1.1</w:t>
      </w:r>
    </w:p>
    <w:p>
      <w:r>
        <w:t>Für die Verfolgung und Beurteilung einer Straftat sind die Behörden des Or- tes zuständig, an dem die Tat verübt worden ist (Art. 31 Abs. 1 StPO). Der Ausführungsort befindet sich dort, wo der Täter gehandelt hat (BGE 86 IV 222 E. 1).</w:t>
      </w:r>
    </w:p>
    <w:p>
      <w:r>
        <w:rPr>
          <w:b/>
        </w:rPr>
        <w:t>E. 2.1.2</w:t>
      </w:r>
    </w:p>
    <w:p>
      <w:r>
        <w:t>Bei Straftaten nach den Art. 163–171bis StGB sind die Behörden am Wohn- sitz, am gewöhnlichen Aufenthaltsort oder am Sitz der Schuldnerin oder des Schuldners zuständig (Art. 36 Abs. 1 StPO). Für Strafverfahren gegen das Unternehmen nach Art. 102 StGB sind die Behörden am Sitz des</w:t>
      </w:r>
    </w:p>
    <w:p>
      <w:r>
        <w:t>- 5 -</w:t>
      </w:r>
    </w:p>
    <w:p>
      <w:r>
        <w:t>Unternehmens zuständig. Dies gilt ebenso, wenn sich das Verfahren wegen des gleichen Sachverhalts auch gegen eine für das Unternehmen handelnde Person richtet (Art. 36 Abs. 2 StPO).</w:t>
      </w:r>
    </w:p>
    <w:p>
      <w:r>
        <w:t>Wird die eigentliche Geschäftsführung einer Gesellschaft an einem anderen Ort als dem formellen Sitz abgewickelt, so liegt ein fiktiver Sitz vor. In diesem Fall ist eine Anknüpfung der Zuständigkeit an den tatsächlichen Sitz der Schuldnerin zu prüfen (vgl. hierzu zuletzt den Beschluss des Bundesstrafge- richts BG.2018.1 vom 2. März 2018 E. 2.2). Die Annahme eines fiktiven Sit- zes darf jedoch nicht leichthin angenommen werden. Sie drängt sich nur auf, wenn konkrete Hinweise dafür vorliegen, dass dieser bloss vorgeschoben und die effektive Geschäftstätigkeit anderswo vorgenommen wird (Be- schlüsse des Bundesstrafgerichts BG.2018.1 vom 2. März 2018 E. 2.2; BG.2016.4 vom 7. Juni 2016 E. 3.1; BG.2015.23 vom 24. August 2015 E. 3.2). Fiktiv ist die Geschäftstätigkeit am formellen Sitz namentlich dann nicht, wenn sich die Akten, auf die die Untersuchung zurückgreifen muss, am Ort der Konkurseröffnung befinden, die in der Untersuchung zu befra- genden Zeugen am Konkursort oder in dessen Nähe wohnen und von der Konkursverwaltung für das Strafverfahren allenfalls wichtige Aufschlüsse zu erhalten sind (Beschluss des Bundesstrafgerichts BG.2014.22 vom 3. Sep- tember 2014 E. 2.2 m.w.H.).</w:t>
      </w:r>
    </w:p>
    <w:p>
      <w:r>
        <w:rPr>
          <w:b/>
        </w:rPr>
        <w:t>E. 2.2</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rPr>
          <w:b/>
        </w:rPr>
        <w:t>E. 3.1</w:t>
      </w:r>
    </w:p>
    <w:p>
      <w:r>
        <w:t>Unter den Parteien ist unbestritten, dass es sich bei den in den Kantonen Obwalden und Schaffhausen beanzeigten und A. vorgeworfenen Taten, nämlich Unterlassung der Buchführung im Sinne von Art. 166 StGB und Dro- hung im Sinne von Art. 180 StGB bzw. Körperverletzung im Sinne von Art. 123 StGB, um Delikte mit gleicher Strafdrohung handelt, die i.c. zugleich die mit schwerster Strafe bedrohten Taten sind. Nicht in Frage gestellt wird sodann, dass die erste Verfolgungshandlung im Kanton Obwalden erfolgte, nämlich durch die Anzeigeerstattung der Ausgleichskasse IV-Stelle Obwal- den bei der Kantonspolizei Obwalden am 4. März 2022 (vgl. supra lit. A). Schliesslich bestreitet der Gesuchsgegner nicht, mit Verfügung vom 19. Au- gust 2022 die im Kanton Schaffhausen angehobene Strafuntersuchung</w:t>
      </w:r>
    </w:p>
    <w:p>
      <w:r>
        <w:t>- 6 -</w:t>
      </w:r>
    </w:p>
    <w:p>
      <w:r>
        <w:t>gegen A. wegen der am 10. Juni 2022 angezeigten Drohung und Tätlichkeit übernommen zu haben. Der Kanton Obwalden ist jedoch der Ansicht, dass er dieses Verfahren fälschlicherweise übernommen habe. Denn A. habe in seiner Einvernahme vom 9. Juni 2022 sinngemäss ausgesagt, dass es sich beim Sitz der B. GmbH in Z. um einen Scheinsitz gehandelt habe. A. habe eigenen Aussagen zufolge als Gesellschafter und Geschäftsführer der B. GmbH von seinem Wohnsitz in Schaffhausen gehandelt, weshalb die Zu- ständigkeit beim Kanton Schaffhausen liege. Dies habe der Gesuchsgegner bei der Verfahrensübernahme schlicht übersehen. Erst als die Staatsanwalt- schaft Schaffhausen mit einem erneuten Gesuch um Verfahrensübernahme an den Kanton Obwalden herangetreten sei, habe dieser die Akten einge- hender geprüft und die Aussagen A. in seiner Einvernahme als eindeutiges Eingeständnis eines Scheinsitzes erkannt. Sollte der Kanton Obwalden auf die fälschlicherweise erfolgte Übernahme vom 19. August 2022 behaftet werden, erschiene dies überspitzt formalistisch (act. 3).</w:t>
      </w:r>
    </w:p>
    <w:p>
      <w:r>
        <w:rPr>
          <w:b/>
        </w:rPr>
        <w:t>E. 3.2</w:t>
      </w:r>
    </w:p>
    <w:p>
      <w:r>
        <w:t>A. wurde am 9. Juni 2022 auf Ersuchen der Kantonspolizei Obwalden rechts- hilfeweise von der Polizei Schaffhausen einvernommen. Anlässlich dieser Einvernahme führte A. zwar aus, er habe für die B. GmbH nur von zu Hause, also von der […]strasse […] in Schaffhausen, gearbeitet. Er habe keine Räumlichkeiten für die B. GmbH gehabt, und in Z./OW habe es lediglich einen angeschriebenen Briefkasten gegeben (Verfahrensakten ST.2022.2104, Dossier 1, Unterdossier «Einvernahme Beschuldigter», Ant- wort zu Frage 6, nicht paginiert). A. hielt aber auch fest, dass er Partner von einem Kollegen gewesen sei, welcher seine Firma in Z./OW gehabt habe und sie sich dort den Briefkasten geteilt hätten. Erst als sie sich getrennt hätten, hätte er die Post zu sich nach Hause nach Schaffhausen umleiten lassen. Er habe von zu Hause aus, also von Schaffhausen aus, gearbeitet, aber er habe am Anfang noch ein Büro in Zug gehabt. Die Post sei nach Z./OW zugestellt und nach der Trennung von seinem Geschäftspartner schliesslich nach Schaffhausen umgeleitet worden (Verfahrensakten ST.2022.2104, Dossier 1, Unterdossier «Einvernahme Beschuldigter», Ant- worten zu Fragen 7-10, nicht paginiert). Wie ausgeführt, ist für die Gerichts- standsbestimmung ein fiktiver Sitz nicht leichthin anzunehmen. Der Um- stand, dass A. in Z./OW einen Geschäftspartner hatte und zumindest zu Be- ginn der Geschäftsaktivität die Post nach Z./OW zugestellt worden war, spricht eher gegen die Annahme, dass der Sitz der B. GmbH im Kanton Ob- walden bloss vorgeschoben und damit fiktiv gewesen wäre. Letztlich kann die Frage nach dem fiktiven Sitz für das vorliegende Gerichtsstandsverfah- ren jedoch offengelassen werden, wie sich sogleich aus den nachfolgenden Erwägungen ergibt.</w:t>
      </w:r>
    </w:p>
    <w:p>
      <w:r>
        <w:t>- 7 -</w:t>
      </w:r>
    </w:p>
    <w:p>
      <w:r>
        <w:rPr>
          <w:b/>
        </w:rPr>
        <w:t>E. 3.3</w:t>
      </w:r>
    </w:p>
    <w:p>
      <w:r>
        <w:t>Der Gesuchsgegner hatte mit Verfügung vom 19. August 2022 ausdrücklich das im Kanton Schaffhausen gegen A. eröffnete Verfahren wegen Drohung und Tätlichkeit übernommen und seine Zuständigkeit anerkannt (vgl. supra lit. C). Anerkennt ein Kanton seinen Gerichtsstand, so ist er grundsätzlich dabei zu behaften, es sei denn, die Anerkennung beruhe auf einem offen- sichtlichen Versehen oder auf offensichtlich falschen rechtlichen Gesichts- punkten. Ein Abweichen vom einmal anerkannten Gerichtsstand ist etwa dann möglich, wenn wesentliche neue Erkenntnisse oder Entwicklungen bei einer neuen gesamthaften Beurteilung klar zu einem ganz anderen Ergebnis führen müssten. Auch in diesem Fall kann freilich nur eine offensichtlich und erheblich veränderte Ausgangslage ein Zurückkommen auf den Anerken- nungsentscheid rechtfertigen. Der Anerkennung des Gerichtsstands kommt nämlich erhebliche praktische Bedeutung für die möglichst reibungslose Zu- sammenarbeit der Kantone zu; sie dient der Prozessökonomie und vor allem auch der erforderlichen Beschleunigung der Verfahren. Die beteiligten Kan- tone müssen sich deshalb im Interesse der Rechtssicherheit auf eine einmal erfolgte Anerkennung grundsätzlich verlassen können, weshalb ein Rück- kommen nicht leichthin und nur bei eindeutig veränderter Ausgangslage in Frage kommen kann (vgl. Beschlüsse des Bundesstrafgerichts BG.2021.5 vom 2. Juli 2021 E. 4.2; BG.2021.26 vom 25. Mai 2021 E. 4; BG.2008.2 vom 25. Januar 2008 E. 3.2; BG.2006.27 vom 29. August 2006 E. 2.2; BG.2006.22 vom 30. Juni 2006 E. 3.1 und BG.2005.30 vom 26. Januar 2006 E. 3.2). Wenn der Gesuchsgegner nun geltend macht, er habe die Aussagen von A., gemäss welchen von einem Scheinsitz der B. GmbH im Kanton Ob- walden auszugehen sei, «schlicht übersehen», vermag dies nicht ein Zu- rückkommen auf dessen ausdrückliche Anerkennung des Gerichtsstandes im Sinne der oben zitierten Rechtsprechung zu rechtfertigen. Weder wird geltend gemacht, die Anerkennung beruhe auf einem offensichtlichen Ver- sehen oder auf offensichtlich falschen rechtlichen Gesichtspunkten noch lie- gen wesentliche neue Erkenntnisse oder Entwicklungen vor, die bei einer neuen gesamthaften Beurteilung klar zu einem ganz anderen Ergebnis füh- ren müssten. Dem Gesuchsgegner wurde das Protokoll der Einvernahme A. am 10. Juni 2022 durch die Schaffhauser Behörden zugestellt, mithin mehr als zwei Monate vor Erlass der Übernahmeverfügung vom 19. August 2022 (Verfahrensakten ST.2022.2104, Dossier 1, Unterdossier «Rapport/Berichte Polizei», nicht paginiert). Hat der Gesuchsgegner die darin enthaltenen In- formationen für seinen Entscheid nicht berücksichtigt, ist dies seiner eigenen Nachlässigkeit zuzuschreiben. Vielmehr ist er dabei zu behaften, das im Kanton Schaffhausen gegen A. eröffnete Verfahren wegen Drohung und Tät- lichkeit mit Verfügung vom 19. August 2022 übernommen zu haben.</w:t>
      </w:r>
    </w:p>
    <w:p>
      <w:r>
        <w:t>- 8 -</w:t>
      </w:r>
    </w:p>
    <w:p>
      <w:r>
        <w:rPr>
          <w:b/>
        </w:rPr>
        <w:t>E. 4</w:t>
      </w:r>
    </w:p>
    <w:p>
      <w:r>
        <w:t>Nach dem Gesagten ist das Gesuch gutzuheissen, und es sind die Strafbe- hörden des Kantons Obwalden gestützt auf Art. 36 Abs. 1 StPO i.V.m. Art. 34 Abs. 1 StPO für berechtigt und verpflichtet zu erklären, die A. zur Last geleg- ten Straftaten zu verfolgen und zu beurteilen.</w:t>
      </w:r>
    </w:p>
    <w:p>
      <w:r>
        <w:rPr>
          <w:b/>
        </w:rPr>
        <w:t>E. 5</w:t>
      </w:r>
    </w:p>
    <w:p>
      <w:r>
        <w:t>Es ist keine Gerichtsgebühr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