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BG.2022.41 vom 29. November 2022</w:t>
      </w:r>
    </w:p>
    <w:p>
      <w:r>
        <w:t>Bundesstrafgericht, 2022-11-29, FR</w:t>
      </w:r>
    </w:p>
    <w:p>
      <w:r>
        <w:rPr>
          <w:b/>
        </w:rPr>
        <w:t xml:space="preserve">Quelle: </w:t>
      </w:r>
      <w:r>
        <w:t>https://mcp.opencaselaw.ch/entscheid/bstger_BG.2022.41</w:t>
      </w:r>
    </w:p>
    <w:p>
      <w:r>
        <w:t>FR: TPF BG.2022.41 du 29 novembre 2022</w:t>
      </w:r>
    </w:p>
    <w:p>
      <w:r>
        <w:t>IT: TPF BG.2022.41 del 29 novembre 2022</w:t>
      </w:r>
    </w:p>
    <w:p>
      <w:pPr>
        <w:pStyle w:val="Heading2"/>
      </w:pPr>
      <w:r>
        <w:t>Regeste</w:t>
      </w:r>
    </w:p>
    <w:p>
      <w:r>
        <w:t>Compétence ratione materiae (art. 28 CPP); contestation du for (art. 41 al. 2 CPP)</w:t>
      </w:r>
    </w:p>
    <w:p>
      <w:pPr>
        <w:pStyle w:val="Heading2"/>
      </w:pPr>
      <w:r>
        <w:t>Erwägungen</w:t>
      </w:r>
    </w:p>
    <w:p>
      <w:r>
        <w:rPr>
          <w:b/>
        </w:rPr>
        <w:t>E. 17</w:t>
      </w:r>
    </w:p>
    <w:p>
      <w:r>
        <w:t>septembre 2019 consid. 1.1; SCHMID/JOSITSCH, Praxiskommentar, 3e éd. 2018, n. 3 ad art. 41 CPP);</w:t>
      </w:r>
    </w:p>
    <w:p>
      <w:r>
        <w:t>en l’espèce, suite à la contestation de for du recourant, le MP-VD a rendu, en date du 15 août 2022, une ordonnance, susceptible de recours, confirmant sa compétence pour reprendre la procédure (dossier MP-VD, fourre Décisions);</w:t>
      </w:r>
    </w:p>
    <w:p>
      <w:r>
        <w:t>aucune autre éventuelle contestation de for formulée par A. figurant au dossier du MP-VD PE22.011302 – s’agissant d’autre/s plainte/s du prénommé – n’a, en l’état, fait l’objet d’un prononcé susceptible de faire l’objet d’un recours auprès de la Cour de céans;</w:t>
      </w:r>
    </w:p>
    <w:p>
      <w:r>
        <w:t>la compétence de la Cour de céans est ainsi donnée pour connaître d’un recours contre le seul prononcé du 15 août 2022;</w:t>
      </w:r>
    </w:p>
    <w:p>
      <w:r>
        <w:t>les recours adressés à la Cour de céans doivent être motivés (art. 396 al. 1 CPP); selon l’art. 385 al. 1 CPP, un recours motivé doit indiquer précisément les points de la décision attaqués (let. a), les motifs qui commandent une autre décision (let. b) et les moyens de preuve invoqués (let. c);</w:t>
      </w:r>
    </w:p>
    <w:p>
      <w:r>
        <w:t>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2e éd. 2019, n. 19 ad art. 396 CPP; CALAME, Commentaire romand, op. cit., n. 2 ad art. 385 CPP);</w:t>
      </w:r>
    </w:p>
    <w:p>
      <w:r>
        <w:t>si le mémoire ne satisfait pas à ces exigences, l’autorité de recours le renvoie</w:t>
      </w:r>
    </w:p>
    <w:p>
      <w:r>
        <w:t>- 5 -</w:t>
      </w:r>
    </w:p>
    <w:p>
      <w:r>
        <w:t>au recourant afin que ce dernier le complète dans un bref délai (art. 385 al. 2 première phrase CPP);</w:t>
      </w:r>
    </w:p>
    <w:p>
      <w:r>
        <w:t>si, à l’expiration de ce délai, le mémoire ne satisfait toujours pas à ces exigences, l’autorité de recours n’entre pas en matière (art. 385 al. 2 deuxième phrase CPP);</w:t>
      </w:r>
    </w:p>
    <w:p>
      <w:r>
        <w:t>malgré l’invitation de la Cour de céans du 10 novembre 2022, A., dans la mesure de l’intelligibilité de sa réponse du 21 novembre 2022, ne confirme pas explicitement son intention de recourir, ne conteste pas non plus la compétence du MP-VD et ne fait valoir aucun argument utile en faveur d’un autre for, en l’occurrence, fédéral;</w:t>
      </w:r>
    </w:p>
    <w:p>
      <w:r>
        <w:t>pour le surplus, les écritures de A., notamment en tant qu’il estime « que la procédure d’établissement du for n’est pas applicable » sont confuses et absconses et/ou ne concernent pas le dossier PE22.011302;</w:t>
      </w:r>
    </w:p>
    <w:p>
      <w:r>
        <w:t>au vu de ce qui précède, le recours doit être déclaré irrecevable, sans procéder à un échange d’écriture (art. 390 al. 2 CPP a contrario);</w:t>
      </w:r>
    </w:p>
    <w:p>
      <w:r>
        <w:t>vu les circonstances du cas d’espèce, il n’est pas perçu de frais de procédure.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