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BG.2022.37 vom 22. Mai 2023</w:t>
      </w:r>
    </w:p>
    <w:p>
      <w:r>
        <w:t>Bundesstrafgericht, 2023-05-22, DE</w:t>
      </w:r>
    </w:p>
    <w:p>
      <w:r>
        <w:rPr>
          <w:b/>
        </w:rPr>
        <w:t xml:space="preserve">Quelle: </w:t>
      </w:r>
      <w:r>
        <w:t>https://mcp.opencaselaw.ch/entscheid/bstger_BG.2022.37</w:t>
      </w:r>
    </w:p>
    <w:p>
      <w:r>
        <w:t>FR: TPF BG.2022.37 du 22 mai 2023</w:t>
      </w:r>
    </w:p>
    <w:p>
      <w:r>
        <w:t>IT: TPF BG.2022.37 del 22 maggio 2023</w:t>
      </w:r>
    </w:p>
    <w:p>
      <w:pPr>
        <w:pStyle w:val="Heading2"/>
      </w:pPr>
      <w:r>
        <w:t>Regeste</w:t>
      </w:r>
    </w:p>
    <w:p>
      <w:r>
        <w:t>Gerichtsstandskonflikt (Art. 40 Abs. 2 StPO)</w:t>
      </w:r>
    </w:p>
    <w:p>
      <w:pPr>
        <w:pStyle w:val="Heading2"/>
      </w:pPr>
      <w:r>
        <w:t>Erwägungen</w:t>
      </w:r>
    </w:p>
    <w:p>
      <w:r>
        <w:rPr>
          <w:b/>
        </w:rPr>
        <w:t>E. 1</w:t>
      </w:r>
    </w:p>
    <w:p>
      <w:r>
        <w:t>Verfolgungs- handlung Delikt Täterschaft Bemerkungen 14.08.2019 bis 16.08.2019 Anzeige vom 03.09.2019 147 Unbekannt, öster- reichischer, bayri- scher Dialekt Rapport vom 04.09.2019 an StA Frauenfeld (pag. 331 ff.) 21.08.2019 Anzeige vom 21.10.2019 147, evtl. 146 Unbekannt, öster- reichischer oder bayrischer Dialekt Rapport vom 14.02.2020 ins Archiv der Kantonspolizei Zürich (pag. 359 ff.) 05.09.2019 bis 22.10.2019 Anzeige vom 03.10.2019 143, 146, 147, 251, 252 Unbekannt, öster- reichischdeutsch Rapport vom 15.02.2020, Orientierung/Editionsverfü- gung StA Baden (pag. 409 ff.) 02.12.2019 bis 31.01.2020 Anzeige vom 16.12.2019 146, 179septies, 147, 251, 253, 15 KStrG Unbekannt, öster- reichische oder süddeutsche Natio- nalität Rapport vom 06.02.2020 an StA BE; Rapport vom 30.03.2020 an StA BE (pag. 453 ff.) 23.12.2019 bis 30.01.2020 Anzeige vom 05.02.2020 - Unbekannt, öster- reichischer Akzent, H. Strafanzeige vom 05.02.2020 an Kriminalpoli- zei BS (pag. 528 ff.) 31.01.2020 Anzeige vom 03.02.2020 146 Unbekannt, H. Anzeige vom 03.02.2020 bei StA BS (pag. 556 ff.)</w:t>
      </w:r>
    </w:p>
    <w:p>
      <w:r>
        <w:t>In den Akten finden sich Anhaltspunkte für weitere hängige Strafverfahren in diesem Zusammenhang: In der Anzeige vom 21. Oktober 2019 (Verfahren- sakten, pag. 364) wird ausgeführt, die Anzeigeerstatterin sei «auf diese Tä- terschaft» erstmals im Dezember 2015 aufmerksam geworden und habe am 12. August 2016 eine erste Strafanzeige bei der Kantonspolizei Zürich (mit der Referenz 45583-2015) eingereicht. Am 6. April 2020 ersuchte die Staats- anwaltschaft Zürich-Sihl unter der Referenz 1/2020/10010901 die StA BS um Übernahme eines Verfahrens gegen Unbekannt wegen Verdachts des Be- trugs etc. (Verfahrensakten, pag. 313 ff.). Am 11. Mai 2020 ersuchte die Staatsanwaltschaft Zürich-Sihl unter der Referenz G-3/2020/10012876 die</w:t>
      </w:r>
    </w:p>
    <w:p>
      <w:r>
        <w:t>- 9 -</w:t>
      </w:r>
    </w:p>
    <w:p>
      <w:r>
        <w:t>StA BS um Aktenbeizug für ein Verfahren gegen Unbekannt wegen Ver- dachts des Betrugs, Urkundenfälschung und betrügerischen Missbrauchs ei- ner Datenverarbeitungsanlage (Verfahrensakten, pag. 317 f.). Der Gesuchs- gegner hat sich im vorliegenden Verfahren nicht dazu geäussert und abge- sehen von Gerichtsstandskorrespondenz auch keine Akten eingereicht.</w:t>
      </w:r>
    </w:p>
    <w:p>
      <w:r>
        <w:rPr>
          <w:b/>
        </w:rPr>
        <w:t>E. 1.1</w:t>
      </w:r>
    </w:p>
    <w:p>
      <w:r>
        <w:t>Ein streitiger Gerichtsstand, der zur Anrufung der Beschwerdekammer be- rechtigt, liegt vor, wenn der Meinungsaustausch zwischen den Kantonen ge- scheitert ist (Art. 40 Abs. 2 StPO). Demgemäss tritt die Beschwerdekammer vor Abschluss des Meinungsaustauschs zwischen sämtlichen ernstlich in Frage kommenden Kantonen auf ein Gesuch um Bestimmung des Gerichts- standes nicht ein (vgl. zuletzt u.a. Beschluss des Bundesstrafgerichts BG.2022.2 vom 14. April 2022 E. 1.1 m.w.H.; vgl. auch BAUMGARTNER, Die Zuständigkeit im Strafverfahren, 2014, S. 481 ff., 490 f. m.w.H.).</w:t>
      </w:r>
    </w:p>
    <w:p>
      <w:r>
        <w:rPr>
          <w:b/>
        </w:rPr>
        <w:t>E. 1.2</w:t>
      </w:r>
    </w:p>
    <w:p>
      <w:r>
        <w:t>Der Gesuchsgegner bringt zur Begründung seines Nichteintretensantrags vor, dass der Meinungsaustausch nicht abschliessend geführt worden sei.</w:t>
      </w:r>
    </w:p>
    <w:p>
      <w:r>
        <w:rPr>
          <w:b/>
        </w:rPr>
        <w:t>E. 1.3</w:t>
      </w:r>
    </w:p>
    <w:p>
      <w:r>
        <w:t>Der Gesuchsteller führt in seinem Gesuch aus, es sei zwar durchaus nicht auszuschliessen, dass der Beschuldigte aufgrund der Verbindung zum als Hintermann agierenden «J.»/«K.» in weitere Delikte verwickelt gewesen sei. Dies könne aber aufgrund vorliegender Aktenlage und auch mit weiteren Er- mittlungen kaum geklärt werden. Ein offensichtlicher Zusammenhang mit dem am 3. Oktober 2019 im Kanton Aargau aufgenommenen Strafverfahren sei zwar aufgrund des identischen Geschädigten mit dem Delikt in Basel- Stadt gegeben, allerdings könne dies nur für «J.»/«K.» gelten, da dort eben- falls ein Anrufer mit österreichischem Akzent in Erscheinung getreten sei. Das Lichtbild des bei diesem Delikt benutzten, gefälschten und auf den Ge- schädigten lautenden Schweizer Passes zeige jedenfalls einen anderen Be- teiligten und nicht H. Das Gesagte gelte ebenso für die im Kanton Thurgau</w:t>
      </w:r>
    </w:p>
    <w:p>
      <w:r>
        <w:t>- 8 -</w:t>
      </w:r>
    </w:p>
    <w:p>
      <w:r>
        <w:t>am 3. September 2019 und im Kanton Zürich am 21. Oktober 2019 einge- reichten Strafanzeigen, wo lediglich ein Zusammenhang in Bezug auf den mit österreichischem oder evtl. bayrischen Dialekt sprechenden Anrufer ge- geben sei, bei welchem es sich mit grösster Wahrscheinlichkeit um «J.»/«K.» handeln dürfte. Weitere mögliche Abklärungen oder Anfragen in diesen Kan- tonen brächten das Verfahren daher nicht weiter (act. 1 S. 5).</w:t>
      </w:r>
    </w:p>
    <w:p>
      <w:r>
        <w:rPr>
          <w:b/>
        </w:rPr>
        <w:t>E. 1.4</w:t>
      </w:r>
    </w:p>
    <w:p>
      <w:r>
        <w:t>Aufgrund der vorliegenden Akten des Gesuchstellers ist mindestens von fol- genden hängigen Strafverfahren auszugehen:</w:t>
      </w:r>
    </w:p>
    <w:p>
      <w:r>
        <w:t>Tatzeit</w:t>
      </w:r>
    </w:p>
    <w:p>
      <w:r>
        <w:rPr>
          <w:b/>
        </w:rPr>
        <w:t>E. 1.5</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(TPF 2021 167 E. 3.2.3).</w:t>
      </w:r>
    </w:p>
    <w:p>
      <w:r>
        <w:t>Aufgrund der aktuellen Aktenlage erweist sich die Annahme, dass der bis- lang nicht identifizierte «J.»/«K.» an allen diesen verfolgten Delikten als (Mit-)Täter beteiligt ist, nicht von vornherein als haltlos oder sicher ausge- schlossen. Ebenso wenig, dass H. als Mittäter von «J.»/«K.» in Erscheinung trat. Begehen mehrere Beschuldigte zusammen in verschiedenen Kantonen mehrere Delikte, so sind Art. 33 Abs. 2 und Art. 34 Abs. 1 StPO so miteinan- 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 lungen vorgenommen worden sind. Vor diesem Hintergrund kommen für die Bestimmung des Gerichtsstands nicht nur der Gesuchsteller und der Ge- suchsgegner ernstlich in Frage, sondern auch die Kantone Thurgau, Aargau und Bern. Dass der bislang nicht identifizierte «J.»/«K.» nicht ermittelt wer- den könnte und die Untersuchung gegen Unbekannt letztlich einzustellen wäre, ändert daran nichts. Mit den fraglichen Kantonen fand jedoch kein (ab- schliessender) Meinungsaustausch statt, weshalb auf das Gesuch nicht ein- getreten werden kann.</w:t>
      </w:r>
    </w:p>
    <w:p>
      <w:r>
        <w:rPr>
          <w:b/>
        </w:rPr>
        <w:t>E. 2</w:t>
      </w:r>
    </w:p>
    <w:p>
      <w:r>
        <w:t>Praxisgemäss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