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BG.2022.24 vom 28. November 2022</w:t>
      </w:r>
    </w:p>
    <w:p>
      <w:r>
        <w:t>Bundesstrafgericht, 2022-11-28, DE</w:t>
      </w:r>
    </w:p>
    <w:p>
      <w:r>
        <w:rPr>
          <w:b/>
        </w:rPr>
        <w:t xml:space="preserve">Quelle: </w:t>
      </w:r>
      <w:r>
        <w:t>https://mcp.opencaselaw.ch/entscheid/bstger_BG.2022.24</w:t>
      </w:r>
    </w:p>
    <w:p>
      <w:r>
        <w:t>FR: TPF BG.2022.24 du 28 novembre 2022</w:t>
      </w:r>
    </w:p>
    <w:p>
      <w:r>
        <w:t>IT: TPF BG.2022.24 del 28 novembre 2022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allerdings, dass mit allen ernsthaft in Frage kommenden Kantonen ein Meinungsaustausch durchgeführt wurde (Beschluss des Bun- desstrafgerichts BG.2013.31 vom 27. Februar 2014 E. 1.1 und 2.3; SCHWERI/ BÄNZIGER, Interkantonale Gerichtsstandsbestimmung in Strafsachen,</w:t>
      </w:r>
    </w:p>
    <w:p>
      <w:r>
        <w:rPr>
          <w:b/>
        </w:rPr>
        <w:t>E. 1.2</w:t>
      </w:r>
    </w:p>
    <w:p>
      <w:r>
        <w:t>Solange die Frage der Zuständigkeit offen oder streitig ist, bleibt jeder Kanton verpflichtet, die sein Gebiet betreffenden Tatsachen so weit abzuklä- ren, als es der Entscheid über den Gerichtsstand erfordert. Diese ersten Ermittlungshandlungen haben für sich allein keine zuständigkeitsbegrün- dende Wirkung, denn es wäre unbillig, jene Behörden, welche Abklärungen für die Ermittlung des Gerichtsstandes vornehmen, allein deswegen schon zu verpflichten, nachher auch das ganze Verfahren durchzuführen. Sie ermöglichen vielmehr die schriftliche Gerichtsstandsanfrage und den Meinungsaustausch. Nach Anklageerhebung ist kein Meinungsaustausch mehr möglich. Anders ist die Situation, wenn der Meinungsaustausch vor Anklageerhebung eingeleitet wird und eine anklagende Behörde schon Kenntnis von einem «Zusammentreffen mehrerer Straftaten» hat. Die Form</w:t>
      </w:r>
    </w:p>
    <w:p>
      <w:r>
        <w:t>- 6 -</w:t>
      </w:r>
    </w:p>
    <w:p>
      <w:r>
        <w:t>der Kenntnisnahme ist dabei ohne Belang. Die Situation ist vergleichbar mit derjenigen bei Einstellungsverfügungen in Gerichtsstandsverfahren. Diese kann eine Behörde nur erlassen, wenn sie weder wusste noch wissen musste, dass die beschuldigte Person gleichzeitig noch in anderen Kantonen verfolgt wird. Andernfalls gilt der Grundsatz, wonach sich eine Staatsanwalt- schaft nicht durch frühzeitiges Erlassen einer Einstellungsverfügung der sich aus Art. 34 Abs. 1 StPO ergebenden Verpflichtung zur Bestimmung des Gerichtsstandes und gegebenenfalls zur Übernahme der Strafverfolgung und Beurteilung entziehen kann. Diese Rechtsprechung zum Wissensstand von Strafverfolgungsbehörden bei Einstellung ist daher im Grundsatz gleichermassen einschlägig für die Wirkungen von Anklageerhebungen auf bereits eingeleitete Gerichtsstandsverfahren. Auf die Gültigkeit einer zwischenzeitlich dennoch erhobenen Anklage hat diese Rechtsprechung in- des keine Auswirkungen (zum Ganzen s. Beschlüsse des Bundesstrafge- richts BG.2022.11 vom 11. Mai 2022 E. 3.1; BG.2018.8 vom 26. April 2018 E. 4.2.2, je mit Hinweisen).</w:t>
      </w:r>
    </w:p>
    <w:p>
      <w:r>
        <w:rPr>
          <w:b/>
        </w:rPr>
        <w:t>E. 1.3</w:t>
      </w:r>
    </w:p>
    <w:p>
      <w:r>
        <w:t>Zunächst ist festzuhalten, dass ein eigentlicher abschliessender Meinungs- austausch mit dem Kanton Waadt entgegen den anderslautenden Ausfüh- rungen des Gesuchstellers in seinem Gesuch vom 7. Juli 2022 nicht stattge- funden hat. Bei den Akten liegt lediglich ein Schreiben der Staatsanwalt- schaft des Kantons Waadt vom 29. März 2022, wonach diese die Kantone Bern, Aargau und Zürich um Bestimmung des Gerichtsstands betreffend die A. vorgeworfenen Delikte ersucht (vgl. supra lit. I). Das A. im Kanton Waadt vorgeworfene Delikt – nämlich Widerhandlung gegen Art. 33 Abs. 1 WG – sieht mit einer Höchstfreiheitsstrafe von drei Jahren eine tiefere Strafandro- hung vor als Diebstahl im Sinne von Art. 139 StGB und ist damit nicht ge- richtsstandsbestimmend. Daher kann vorliegend von einer Rückweisung der Sache zur Durchführung des abschliessenden Meinungsaustausches mit dem Kanton Waadt abgesehen werden.</w:t>
      </w:r>
    </w:p>
    <w:p>
      <w:r>
        <w:rPr>
          <w:b/>
        </w:rPr>
        <w:t>E. 1.4</w:t>
      </w:r>
    </w:p>
    <w:p>
      <w:r>
        <w:t>Der Kanton Bern stellt die Rechtzeitigkeit des Gesuches an die Beschwer- dekammer in Frage. Die Oberstaatsanwaltschaft des Kantons Aargau habe die Generalstaatsanwaltschaft des Kantons Bern mit Schreiben vom</w:t>
      </w:r>
    </w:p>
    <w:p>
      <w:r>
        <w:rPr>
          <w:b/>
        </w:rPr>
        <w:t>E. 2</w:t>
      </w:r>
    </w:p>
    <w:p>
      <w:r>
        <w:t>Aufl. 2004, N. 599). Hinsichtlich der Frist, innerhalb welcher die ersu- chende Behörde ihr Gesuch einzureichen hat, ist im Normalfall die Frist von zehn Tagen gemäss Art. 396 Abs. 1 StPO analog anzuwenden (TPF 2011 94 E. 2.2).</w:t>
      </w:r>
    </w:p>
    <w:p>
      <w:r>
        <w:rPr>
          <w:b/>
        </w:rPr>
        <w:t>E. 2.1</w:t>
      </w:r>
    </w:p>
    <w:p>
      <w:r>
        <w:t>Hat eine beschuldigte Person mehrere Straftaten an verschiedenen Orten verübt, so sind für die Verfolgung und Beurteilung sämtlicher Taten die Behörden des Ortes zuständig, an dem die mit der schwersten Strafe be- drohte Tat begangen worden ist (Art. 34 Abs. 1 Satz 1 StPO). Bei gleicher Strafdrohung sind die Behörden des Ortes zuständig, an dem zuerst Verfol- gungshandlungen vorgenommen worden sind (Art. 34 Abs. 1 Satz 2 StPO; forum praeventionis).</w:t>
      </w:r>
    </w:p>
    <w:p>
      <w:r>
        <w:rPr>
          <w:b/>
        </w:rPr>
        <w:t>E. 2.2</w:t>
      </w:r>
    </w:p>
    <w:p>
      <w:r>
        <w:t>Ist eine Straftat von mehreren Mittätern verübt worden, so sind die Behörden des Ortes zuständig, an dem zuerst Verfolgungshandlungen vorgenommen worden sind (Art. 33 Abs. 2 StPO). Hat ein Mittäter ausser den in Mittäter- schaft verübten Verfehlungen an anderen Orten noch weitere Delikte verübt, die mit gleicher Strafe bedroht sind wie die in Mittäterschaft verübten, so bestimmt sich der Gerichtsstand für alle Beteiligten nach dem Ort, wo die Untersuchung zuerst angehoben wurde, und dies selbst dann, wenn nur die allein verübten Taten Gegenstand der ersten Untersuchungshandlungen bildeten (SCHWERI/BÄNZIGER, a.a.O., N. 247 sowie BGE 109 IV 56 E. 1).</w:t>
      </w:r>
    </w:p>
    <w:p>
      <w:r>
        <w:rPr>
          <w:b/>
        </w:rPr>
        <w:t>E. 2.3</w:t>
      </w:r>
    </w:p>
    <w:p>
      <w:r>
        <w:t>Nach bundesgerichtlicher Rechtsprechung ist Mittäter, wer bei der Ent- schliessung, Planung oder Ausführung eines Deliktes vorsätzlich und in massgebender Weise mit anderen Tätern zusammenwirkt, so dass er als Hauptbeteiligter dasteht (BGE 118 IV 227 E. 5d/aa; 108 IV 88 E. 2a), und der ausserdem über die tatsächliche Begehung der Tat nicht allein zu be- stimmen hat, sondern dies zusammen mit anderen tut. Mittäterschaft setzt somit eine (Mit-)Tatherrschaft voraus (vgl. BGE 133 IV 76 E. 2.7; 111 IV 51</w:t>
      </w:r>
    </w:p>
    <w:p>
      <w:r>
        <w:t>- 8 -</w:t>
      </w:r>
    </w:p>
    <w:p>
      <w:r>
        <w:t>E. 1b). Mittäterschaft ist dabei jede arbeitsteilige, für den Erfolg wesentliche Mitwirkung im Ausführungsstadium (BGE 120 IV 17 E. 2d; 118 IV 397 E. 2b). Ein Gehilfe leistet zu einem Verbrechen oder Vergehen vorsätzlich Hilfe, wobei im Unterschied zu Täter und Mittäter der Gehilfe keine Herrschaft über den Tatablauf besitzt. Sein Beitrag besteht in der blossen Förderung der Tat anderer. Der Gehilfe fördert eine Tat, wenn er sie durch einen untergeord- neten Tatbeitrag unterstützt bzw. wenn er die Ausführung der Haupttat durch irgendwelche Vorkehren oder durch psychische Hilfe erleichtert. Die Erfolgs- chance der Haupttat muss sich durch die Hilfeleistung nachweisbar erhöhen. Nicht erforderlich ist, dass es ohne die Beihilfe nicht zur Tat gekommen wäre (BGE 129 IV 124 E. 3.2; 121 IV 109 E. 3a).</w:t>
      </w:r>
    </w:p>
    <w:p>
      <w:r>
        <w:t>3.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Hypothesen (vgl. Beschluss des Bundesstrafgerichts BG.2015.47 vom 1. März 2016 E. 2.3 m.w.H.). Es gilt der Grundsatz «in dubio pro duriore», wonach im Zweifelsfall auf den für den Beschuldigten ungünstigeren Sach- verhalt abzustellen bzw. das schwerere Delikt anzunehmen ist (vgl. zum Ganzen auch den Beschluss des Bundesstrafgerichts BG.2016.28 vom 25. Oktober 2016 E. 2.2 m.w.H.).</w:t>
      </w:r>
    </w:p>
    <w:p>
      <w:r>
        <w:t>4. 4.1 Diebstahl im Sinne von Art. 139 StGB ist das schwerste A. vorgeworfene Delikt, was unter den Parteien nicht bestritten ist. Gerichtsstandsbestim- mend ist dabei der Fahrzeugdiebstahl in der Nacht vom 24. auf den 25. Juli 2021 in Y./ZH. In diesem Zusammenhang ist nämlich unbestritten, dass A. und B. gemeinsam in die Sammeltiefgarage an der […] in Y./ZH ein- gedrungen sind und je ein Fahrzeug gestohlen haben. Den Aussagen von A. zufolge, soll dieser in der Nacht vom 24. auf den 25. Juli 2021 mit B. unter- wegs gewesen sein und B. habe wie er ein Auto gestohlen (vgl. delegierte Einvernahmen vom 25. und 26. Juli 2021, Antworten zu den Fragen 92 bzw. 27; Verfahrensakten Kt. AG, Ordner, Lasche 7). Dies bestätigte denn auch B. anlässlich seiner Einvernahme vom 16. Februar 2022 vor der Staatsan- waltschaft Berner Jura-Seeland. B. sagte zudem aus, dass A. ihn gebeten</w:t>
      </w:r>
    </w:p>
    <w:p>
      <w:r>
        <w:t>- 9 -</w:t>
      </w:r>
    </w:p>
    <w:p>
      <w:r>
        <w:t>habe, das Fahrzeug VW D Golf R Variant zu lenken (Verfahrensakten Kt. BE, Ordner, Urk. 523). Anhaltspunkte für die Annahme, dass es sich um von- einander unabhängige Täter handelt, oder dass einer der Beschuldigten le- diglich Gehilfe des anderen gewesen wäre, liegen damit gerade nicht vor, was von den Parteien anerkannt ist. Damit ist in Anwendung des Grundsat- zes «in dubio pro duriore» ohne Weiteres von einem mittäterschaftlichen Handeln von B. und A. auszugehen. Der Kanton Bern führt seit dem 30. Juni 2021 gegen B. ein Strafverfahren wegen Diebstahls und Hausfrie- densbruchs (vgl. Auszug aus dem Strafregister vom 6. Dezember 2021; Ver- fahrensakten Kt. AG, Ordner, Lasche 5). Die erste Verfolgungshandlung (ge- gen B.) wurde dabei im Kanton Bern am 30. Juni 2021 vorgenommen, so- dass gestützt auf Art. 33 Abs. 2 und Art. 34 Abs. 1 StPO der Kanton Bern auch für die Verfolgung und Beurteilung der A. vorgeworfenen Delikte zu- ständig ist.</w:t>
      </w:r>
    </w:p>
    <w:p>
      <w:r>
        <w:t>4.2 Entgegen der Ansicht des Kantons Bern liegen keine triftigen Gründe vor, die ein ausnahmsweises Abweichen vom gesetzlichen Gerichtsstand recht- fertigen würden (Art. 40 Abs. 3 StPO). Die in der Gesuchsantwort der Gene- ralstaatsanwaltschaft des Kantons Bern genannte Anklageerhebung gegen B. vom 8. April 2022 erfolgte während des Meinungsaustausches in der Ge- richtsstandsfrage. Im Übrigen hindert diese Anklage den Kanton Bern nicht daran, das Verfahren gegen A. mit derselben Effizienz zu führen, wie ein anderer Kanton. Triftige Gründe für ein Abweichen vom gesetzlichen Ge- richtsstand liegen damit nicht vor.</w:t>
      </w:r>
    </w:p>
    <w:p>
      <w:r>
        <w:t>5. Nach dem Gesagten ist das Gesuch gutzuheissen, und es sind die Strafver- folgungsbehörden des Kantons Bern für berechtigt und verpflichtet zu erklä- ren, die A. zur Last gelegten Straftaten zu verfolgen und zu beurteilen.</w:t>
      </w:r>
    </w:p>
    <w:p>
      <w:r>
        <w:t>6. Es ist keine Gerichtsgebühr zu erheben (Art. 423 Abs. 1 StPO).</w:t>
      </w:r>
    </w:p>
    <w:p>
      <w:r>
        <w:t>- 10 -</w:t>
      </w:r>
    </w:p>
    <w:p>
      <w:r>
        <w:rPr>
          <w:b/>
        </w:rPr>
        <w:t>E. 7</w:t>
      </w:r>
    </w:p>
    <w:p>
      <w:r>
        <w:t>April 2022 um Stellungnahme im abschliessenden Meinungsaustausch ersucht und dabei grösstenteils auf die Ausführungen der Oberstaatsanwalt- schaft des Kantons Zürich vom 17. März 2022 verwiesen. Die Generalstaats- anwaltschaft habe mit Schreiben vom 19. April 2022 abschliessend zum Gerichtsstand Stellung genommen und sich dann am 22. Juni 2022 bei der Oberstaatsanwaltschaft des Kantons Aargau nach dem Verfahrensstand erkundigt. Diese habe telefonisch mitgeteilt, dass sie nach Erhalt der abschliessenden Stellungnahme durch den Kanton Bern erneut an die</w:t>
      </w:r>
    </w:p>
    <w:p>
      <w:r>
        <w:t>- 7 -</w:t>
      </w:r>
    </w:p>
    <w:p>
      <w:r>
        <w:t>Oberstaatsanwaltschaft des Kantons Zürich gelangt sei für die Durchführung eines Meinungsaustausches (act. 5 S. 2 f.).</w:t>
      </w:r>
    </w:p>
    <w:p>
      <w:r>
        <w:t>Den Akten zufolge hat der Kanton Aargau den abschliessenden Meinungs- austausch mit Schreiben vom 7. April 2022 eingeleitet, wobei er sein Ersu- chen um abschliessende Meinungsäusserung zunächst nur an den Kanton Bern richtete. Erst nach Erhalt der Meinungsäusserung durch den Kanton Bern, ersuchte der Kanton Aargau den Kanton Zürich um abschliessende Meinungsäusserung. Der Kanton Zürich nahm mit Schreiben vom 30. Juni 2022 Stellung und das Gesuch des Kantons Aargau um Festlegung des Gerichtsstands an die Beschwerdekammer datiert vom 7. Juli 2022. Da- mit ist das Gesuch rechtzeitig gestellt worden. Die übrigen Eintretensvoraus- setzungen geben zu keinen Bemerkungen Anlass. Auf das Gesuch ist ein- zutreten.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