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BG.2022.14 vom 17. Mai 2022</w:t>
      </w:r>
    </w:p>
    <w:p>
      <w:r>
        <w:t>Bundesstrafgericht, 2022-05-17, DE</w:t>
      </w:r>
    </w:p>
    <w:p>
      <w:r>
        <w:rPr>
          <w:b/>
        </w:rPr>
        <w:t xml:space="preserve">Quelle: </w:t>
      </w:r>
      <w:r>
        <w:t>https://mcp.opencaselaw.ch/entscheid/bstger_BG.2022.14</w:t>
      </w:r>
    </w:p>
    <w:p>
      <w:r>
        <w:t>FR: TPF BG.2022.14 du 17 mai 2022</w:t>
      </w:r>
    </w:p>
    <w:p>
      <w:r>
        <w:t>IT: TPF BG.2022.14 del 17 maggio 2022</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und 2 StPO). Ist die Straftat an meh- reren Orten verübt worden oder ist der Erfolg an mehreren Orten eingetreten, so sind die Behörden des Ortes zuständig, an dem zuerst Verfolgungshand- lungen vorgenommen worden sind (Art. 31 Abs. 2 StPO).</w:t>
      </w:r>
    </w:p>
    <w:p>
      <w:r>
        <w:rPr>
          <w:b/>
        </w:rPr>
        <w:t>E. 2.2</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w:t>
      </w:r>
    </w:p>
    <w:p>
      <w:r>
        <w:t>- 7 -</w:t>
      </w:r>
    </w:p>
    <w:p>
      <w:r>
        <w:t>Abs. 1 StPO). Begehen mehrere Beschuldigte zusammen in verschiedenen Kantonen mehrere Delikte, so sind Art. 33 und Art. 34 Abs. 1 StPO so mitei- nander zu kombinieren, dass in der Regel alle Mitwirkenden an dem Orte verfolgt werden, wo von einem Mittäter die mit der schwersten Strafe be- drohte Tat verübt worden ist. Bei gleich schweren Strafdrohungen bestimmt sich der Gerichtsstand für alle Beteiligten nach dem Ort, wo die Verfolgungs- handlungen zuerst vorgenommen worden sind (vgl. hierzu u.a. Beschlüsse des Bundesstrafgerichts BG.2011.49 vom 19. Januar 2012 E. 2.1; BG.2011.33 vom 28. September 2011 E. 2.2.1; BG.2011.4 vom 10. August 2011 E. 2.2.2).</w:t>
      </w:r>
    </w:p>
    <w:p>
      <w:r>
        <w:rPr>
          <w:b/>
        </w:rPr>
        <w:t>E. 2.3.1</w:t>
      </w:r>
    </w:p>
    <w:p>
      <w:r>
        <w:t>Der Ausführungsort oder Tatort geht als primärer Gerichtsstand allen ande- ren Gerichtsständen vor und befindet sich dort, wo der Täter gehandelt hat (BGE 144 IV 265 E. 2.7.2; 86 IV 222 E. 1; BAUMGARTNER, Die Zuständigkeit im Strafverfahren, 2014, S. 58 f., 85; SCHWERI/BÄNZIGER, Interkantonale Ge- richtsstandsbestimmung in Strafsachen, 2. Aufl. 2004, N. 59 f.). Am Erfolgs- ort verwirklicht sich demgegenüber ein äusseres, d.h. zeitlich und räumlich von der Tatausführung abtrennbares Tatbestandselement. Es ist allgemein der Zustand, den eine beschuldigte Person nach dem entsprechenden ob- jektiven Tatbestand bewirken muss, um das Delikt zu vollenden (BGE 141 IV 336 E. 1.1; 118 Ia 137 E. 2a; BAUMGARTNER, a.a.O., S. 66 ff.; SCHWERI/ BÄNZIGER, a.a.O., N. 95 ff.). Der Erfolgsort ist bei der Bestimmung des Ge- richtsstands gegenüber dem Ausführungsort subsidiär und gilt nur dann, wenn es sich um ein Erfolgsdelikt oder ein konkretes Gefährdungsdelikt han- delt, der Ort des Erfolgseintritts bekannt ist und in der Schweiz liegt (vgl. Art. 31 Abs. 1 Satz 2 StPO; BGE 86 IV 222 E. 1; SCHWERI/BÄNZIGER, a.a.O., N. 60, 78, 95 ff.).</w:t>
      </w:r>
    </w:p>
    <w:p>
      <w:r>
        <w:rPr>
          <w:b/>
        </w:rPr>
        <w:t>E. 2.3.2</w:t>
      </w:r>
    </w:p>
    <w:p>
      <w:r>
        <w:t>Betrug gilt als dort verübt, wo der Täter jemanden durch Vorspiegelung oder Unterdrückung von Tatsachen zu einem Verhalten bestimmt, das den sich Irrenden oder einen Dritten am Vermögen schädigt (Urteil des Bundesge- richts 6B_127/2013 vom 3. September 2013 E. 4.2.2 m.H.). Ausführungs- handlung des Betrugs ist jede Tätigkeit, die nicht blosse Vorbereitungshand- lung ist, d.h. die nach dem Plan des Betrügers auf dem Weg zum Erfolg den entscheidenden Schritt bildet, von dem es in der Regel kein von äusseren Schwierigkeiten unbeeinflusstes Zurück mehr gibt (SCHWERI/BÄNZIGER, a.a.O., N. 106). Gemäss bundesgerichtlicher Rechtsprechung ist Betrug ein Erfolgsdelikt mit einem doppelten Erfolg (kupiertes Erfolgsdelikt). Der Erfolg liegt sowohl am Ort der Entreicherung als auch am Ort, an dem die beab- sichtigte Bereicherung eingetreten ist bzw. eintreten sollte (BGE 125 IV 177 E. 2a S. 180; 124 IV 241 E. 4c; 109 IV 1 E. 3c S. 3; Urteil des Bundesgerichts</w:t>
      </w:r>
    </w:p>
    <w:p>
      <w:r>
        <w:t>- 8 -</w:t>
      </w:r>
    </w:p>
    <w:p>
      <w:r>
        <w:t>6P.29/2006 vom 21. März 2006 E. 3; Entscheid des Bundesstrafgerichts BG.2009.33 vom 5. Februar 2010 E. 2.5; s.a. Urteil des Bundesgerichts 6B_127/2013 vom 3. September 2013 E. 4.2.2, wo vom Ort der schädigen- den Vermögensverfügung bzw. der Schädigung des Vermögens die Rede ist). Zur Verfolgung des Versicherungsbetrugs sind die Behörden jenes Kan- tons zuständig, in dem die Schadensmeldung an die Versicherungsgesell- schaft erfolgte (SCHWERI/BÄNZIGER, a.a.O., N. 107).</w:t>
      </w:r>
    </w:p>
    <w:p>
      <w:r>
        <w:rPr>
          <w:b/>
        </w:rPr>
        <w:t>E. 2.4</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 schluss des Bundesstrafgerichts BG.2014.10 vom 10. Juni 2014 E. 2.1).</w:t>
      </w:r>
    </w:p>
    <w:p>
      <w:r>
        <w:rPr>
          <w:b/>
        </w:rPr>
        <w:t>E. 3.1.1</w:t>
      </w:r>
    </w:p>
    <w:p>
      <w:r>
        <w:t>Nachdem die A. AG über den Kundendienst am 13. April 2021 die Mitteilung erhalten hatte, dass der Verkehrsunfall vom 17. November 2020 inszeniert worden und das Ehepaar C./D. zum Unfallzeitpunkt nicht im Fahrzeug ge- sessen sei (Verfahrensakten SO, Ordner, Lasche 2, pag. 123), beauftragte sie einen Unfallanalytiker mit der Erstellung eines Gutachtens (Verfahrens- akten SO, Ordner, Lasche 2, pag. 124). Dieser kam im Bericht vom 23. April 2021 zum Schluss, dass aus technischer und unfallanalytischer Sicht am ge- schilderten Hergang starke Zweifel bestünden (Verfahrensakten SO, Ordner, Lasche 2, pag. 125 ff.). Der Unfallanalytiker bestätigte der A. AG am 26. April 2021 telefonisch, dass sich der Unfall mit 99%-iger Sicherheit nicht so ereig- net habe, wie er von den Parteien geschildet worden sei. Es müsse vielmehr davon ausgegangen werden, dass das Fahrzeug von B. in das stillstehende Fahrzeug der Ehegatten C./D. gefahren sei. Eventuell seien gewisse Be- schädigungen auch auf Vorunfälle zurückzuführen. Zudem merkte der Un- fallanalytiker an, dass es merkwürdig sei, dass der Versicherungsnehmer (B.) sein volles Verschulden sofort zugegeben und das Unfallprotokoll detail- liert und sorgfältig ausgefüllt habe. Bei derartigen Unfallkonstellationen komme es in der Praxis praktisch immer zu Streitfällen, da keiner der Betei- ligten schuld sein wolle (Verfahrensakten SO, Ordner, Lasche 2, pag. 150). Gestützt auf die Schlussfolgerung des Unfallexperten ist zu vermuten, dass die beschuldigten Personen den Verkehrsunfall vom 17. November 2020 fin-</w:t>
      </w:r>
    </w:p>
    <w:p>
      <w:r>
        <w:t>- 9 -</w:t>
      </w:r>
    </w:p>
    <w:p>
      <w:r>
        <w:t>giert haben. Indem sie gegenüber der A. AG resp. der F. aus dem mutmass- lich fingierten Unfall Versicherungsleistungen geltend machten, könnten Be- trugshandlungen zum Nachteil der beiden Versicherungen vorliegen. Da die Beschuldigten Schadensmeldungen erstatteten und geltend machten, in- folge des Verkehrsunfalls Sach- und Personenschäden erlitten zu haben und hierfür gegenüber diversen Ärzten gesundheitliche Leiden vortäuschten, wäre die für den Betrug notwendige Arglist zu bejahen (vgl. Urteile des Bun- desgerichts 6B_1324/2018 vom 22. März 2019 E. 3.3; 6B_1219/2017 vom</w:t>
      </w:r>
    </w:p>
    <w:p>
      <w:r>
        <w:rPr>
          <w:b/>
        </w:rPr>
        <w:t>E. 3.1.2</w:t>
      </w:r>
    </w:p>
    <w:p>
      <w:r>
        <w:t>In Anwendung des Grundsatzes in dubio pro duriore sind die drei Beschul- digten als Mittäter zu betrachten und es ist anzunehmen, dass das Fingieren des Verkehrsunfalls vom 17. November 2020 darauf ausgerichtet war, für nicht vorhandene bzw. absichtlich verursachte Sach- und Personenschäden Versicherungsleistungen zu erlangen.</w:t>
      </w:r>
    </w:p>
    <w:p>
      <w:r>
        <w:rPr>
          <w:b/>
        </w:rPr>
        <w:t>E. 3.2.1</w:t>
      </w:r>
    </w:p>
    <w:p>
      <w:r>
        <w:t>Soweit ersichtlich sind die Parteien im Rahmen des Meinungsaustausches zu denselben Feststellungen gelangt. Unbestritten ist, dass für die Bestim- mung des Gerichtsstandes die Tatbestände des Betrugs und der Urkunden- fälschung massgebend sind, die im Übrigen den gleichen Strafrahmen von bis zu fünf Jahren Freiheitsstrafe aufweisen (vgl. Art. 251 Ziff. 1 und Art. 146 Abs. 1 StGB). Nicht einig sind sich die Parteien, welche Ausführungshand- lungen für die Festlegung der Zuständigkeit entscheidend sind und wo diese stattgefunden haben.</w:t>
      </w:r>
    </w:p>
    <w:p>
      <w:r>
        <w:rPr>
          <w:b/>
        </w:rPr>
        <w:t>E. 3.2.2</w:t>
      </w:r>
    </w:p>
    <w:p>
      <w:r>
        <w:t>Die hier relevante Täuschungshandlung liegt im Versenden der Schadens- meldungen bzw. Unfallprotokolls von mutmasslich nicht vorhandener bzw. vorsätzlich verursachter Sach- und Personenschäden an die beiden Versi-</w:t>
      </w:r>
    </w:p>
    <w:p>
      <w:r>
        <w:t>- 10 -</w:t>
      </w:r>
    </w:p>
    <w:p>
      <w:r>
        <w:t>cherungen. Nicht massgebend ist dagegen der Ort, an welchem das Fingie- ren des Verkehrsunfalls sowie das Ausfüllen des Unfallprotokolls durch die Beschuldigten stattgefunden haben. Diese Handlungen wären allenfalls als nicht gerichtstandsrelevante Vorbereitungshandlungen für den späteren Ver- sicherungsbetrug zu qualifizieren (vgl. SCHWERI/BÄNZIGER, a.a.O., N. 64, 107). Ebenso stellt die seitens der Reparaturgarage an die A. AG erfolgte telefonische Mitteilung über den angeblich stattgefundenen Verkehrsunfall nur eine – hier nicht entscheidende – (Vorab-)Information dar.</w:t>
      </w:r>
    </w:p>
    <w:p>
      <w:r>
        <w:rPr>
          <w:b/>
        </w:rPr>
        <w:t>E. 3.2.3</w:t>
      </w:r>
    </w:p>
    <w:p>
      <w:r>
        <w:t>Die Schadensmeldung an die A. AG wurde von B. in X./LU unterzeichnet und datiert vom 3. Dezember 2020 (Verfahrensakten SO, Ordner, Lasche 2, pag. 11 ff.). Die Schadensmeldungen der Ehegatten C./D. an die F. datieren vom 19. bzw. 24. November 2021 und wurden im Kanton Aargau unterzeich- net (Verfahrensakten SO, Ordner, Lasche 2, pag. 89 ff., 95 ff.). Wo die drei Schadensmeldungen der Post übergeben wurden, lässt sich nicht mehr fest- stellen bzw. geht den bisherigen Ermittlungsergebnissen nicht hervor. Übli- cherweise werden Briefsendungen am Ort der Unterzeichnung versendet. Gestützt darauf ist anzunehmen, dass die Ausführungsorte der mutmassli- chen Betrugshandlungen in den Kantonen Luzern und Aargau liegen. Ein Ausführungsort im Kanton Solothurn ist hingegen nicht zu erkennen.</w:t>
      </w:r>
    </w:p>
    <w:p>
      <w:r>
        <w:rPr>
          <w:b/>
        </w:rPr>
        <w:t>E. 3.2.4</w:t>
      </w:r>
    </w:p>
    <w:p>
      <w:r>
        <w:t>Unter der Annahme, dass die Eheleute C./D. die sie behandelnden Ärzte über ihre gesundheitlichen Leiden infolge des mutmasslich nicht stattgefun- denen Verkehrsunfalls getäuscht und diese dadurch zur Ausstellung unwah- ren Arztzeugnisse bzw. –berichte veranlasst haben, läge der Ausführungsort der Falschbeurkundungen ebenfalls im Kanton Aargau. Sämtliche in den vorliegenden Akten befindlichen Arztzeugnisse und -berichte wurden von im Kanton Aargau (W., V. und U. [drei Ortschaften]) praktizierenden Ärzten aus- gestellt, wobei die erste Arztvisite am 17. November 2020 stattfand (Verfah- rensakten SO, Ordner, Lasche 2, pag. 90-123).</w:t>
      </w:r>
    </w:p>
    <w:p>
      <w:r>
        <w:rPr>
          <w:b/>
        </w:rPr>
        <w:t>E. 3.3</w:t>
      </w:r>
    </w:p>
    <w:p>
      <w:r>
        <w:t>Wie vorgängig festgestellt, haben die drei Beschuldigten als Mittäter gehan- delt (supra E. 3.1.2). Damit läge der Gerichtsstand am Ort, wo die ersten Verfolgungshandlungen vorgenommen sind. Indes erfolgten diese lediglich im Kanton Solothurn, dessen Unzuständigkeit nach dem oben Ausgeführten ausser Frage steht. Da auch ein Schwergewicht der deliktischen Tätigkeit in keinem der beteiligten Kantone liegt, ist darauf abzustellen, wo die Beschul- digten zeitlich das erste gerichtsstandsrelevante Delikt begangen haben (vgl. zuletzt u.a. Beschlüsse des Bundesstrafgerichts BG.2021.37 vom 14. Juli 2021 E. 3.2.1, BG.2009.32 vom 23. November 2009 E. 2.1; BAUMGARTNER, a.a.O., S. 228 f. m.w.H.). Die ersten mutmasslichen Urkundendelikte und</w:t>
      </w:r>
    </w:p>
    <w:p>
      <w:r>
        <w:t>- 11 -</w:t>
      </w:r>
    </w:p>
    <w:p>
      <w:r>
        <w:t>Betrugshandlungen seitens der Eheleuten C./D. fanden im Kanton Aargau statt (E. 3.2.3 und 3.2.4 oben).</w:t>
      </w:r>
    </w:p>
    <w:p>
      <w:r>
        <w:rPr>
          <w:b/>
        </w:rPr>
        <w:t>E. 4</w:t>
      </w:r>
    </w:p>
    <w:p>
      <w:r>
        <w:t>Nach dem Gesagten ist das Gesuch gutzuheissen. Die Strafbehörden des Kantons Aargau sind berechtigt und verpflichtet, die B., C. und D. zur Last gelegten Straftaten zu verfolgen und zu beurteilen.</w:t>
      </w:r>
    </w:p>
    <w:p>
      <w:r>
        <w:rPr>
          <w:b/>
        </w:rPr>
        <w:t>E. 5</w:t>
      </w:r>
    </w:p>
    <w:p>
      <w:r>
        <w:t>Es sind keine Gerichtskosten zu erheben (vgl. Art. 423 Abs. 1 StPO).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