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BG.2021.7 vom 1. März 2021</w:t>
      </w:r>
    </w:p>
    <w:p>
      <w:r>
        <w:t>Bundesstrafgericht, 2021-03-01, DE</w:t>
      </w:r>
    </w:p>
    <w:p>
      <w:r>
        <w:rPr>
          <w:b/>
        </w:rPr>
        <w:t xml:space="preserve">Quelle: </w:t>
      </w:r>
      <w:r>
        <w:t>https://mcp.opencaselaw.ch/entscheid/bstger_BG.2021.7</w:t>
      </w:r>
    </w:p>
    <w:p>
      <w:r>
        <w:t>FR: TPF BG.2021.7 du 1 mars 2021</w:t>
      </w:r>
    </w:p>
    <w:p>
      <w:r>
        <w:t>IT: TPF BG.2021.7 del 1 marzo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weshalb auf das Gesuch einzutreten ist.</w:t>
      </w:r>
    </w:p>
    <w:p>
      <w:r>
        <w:t>- 6 -</w:t>
      </w:r>
    </w:p>
    <w:p>
      <w:r>
        <w:rPr>
          <w:b/>
        </w:rPr>
        <w:t>E. 2.1</w:t>
      </w:r>
    </w:p>
    <w:p>
      <w:r>
        <w:t>Für die Verfolgung und Beurteilung einer Straftat sind die Behörden des Or- tes zuständig, an dem die Tat verübt worden ist (Art. 31 Abs. 1 StPO).</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rPr>
          <w:b/>
        </w:rPr>
        <w:t>E. 4.1</w:t>
      </w:r>
    </w:p>
    <w:p>
      <w:r>
        <w:t>Gestützt auf welche Ermittlungen der Tatverdacht der Irreführung der Rechtspflege gegen E. sich als haltlos erwiesen haben soll, lässt sich auf- grund der eingereichten Akten nicht nachvollziehen. Aufgrund der vorliegen- den Akten (s. supra lit. A und B) ist in Anwendung des Grundsatzes in dubio pro duriore auf den für E. ungünstigeren Sachverhalt abzustellen. Gestützt auf das bisherige Ermittlungsergebnis lässt sich der Tatbestand der Irrefüh- rung der Rechtspflege nach dem Gesagten nicht sicher ausschliessen, wes- halb er – als vorliegend mit der schwersten Strafe bedrohter Tatbestand – für die Bestimmung des Gerichtsstands massgeblich bleibt.</w:t>
      </w:r>
    </w:p>
    <w:p>
      <w:r>
        <w:t>- 7 -</w:t>
      </w:r>
    </w:p>
    <w:p>
      <w:r>
        <w:rPr>
          <w:b/>
        </w:rPr>
        <w:t>E. 4.2</w:t>
      </w:r>
    </w:p>
    <w:p>
      <w:r>
        <w:t>Die Irreführung der Rechtspflege erfolgte im Kanton Bern, weshalb dessen Strafverfolgungsbehörden berechtigt und verpflichtet sind, die E. zur Last ge- legten Straftaten zu verfolgen und zu beurteilen. Bei diesem Ergebnis sind die weiteren Vorbringen des Gesuchsgegners nicht zu prüfen.</w:t>
      </w:r>
    </w:p>
    <w:p>
      <w:r>
        <w:rPr>
          <w:b/>
        </w:rPr>
        <w:t>E. 5</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