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BG.2021.5 vom 2. Juli 2021</w:t>
      </w:r>
    </w:p>
    <w:p>
      <w:r>
        <w:t>Bundesstrafgericht, 2021-07-02, DE</w:t>
      </w:r>
    </w:p>
    <w:p>
      <w:r>
        <w:rPr>
          <w:b/>
        </w:rPr>
        <w:t xml:space="preserve">Quelle: </w:t>
      </w:r>
      <w:r>
        <w:t>https://mcp.opencaselaw.ch/entscheid/bstger_BG.2021.5</w:t>
      </w:r>
    </w:p>
    <w:p>
      <w:r>
        <w:t>FR: TPF BG.2021.5 du 2 juillet 2021</w:t>
      </w:r>
    </w:p>
    <w:p>
      <w:r>
        <w:t>IT: TPF BG.2021.5 del 2 luglio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t>- 6 -</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der Gesuchsgegner steht diese Befugnis der Generalstaatsanwaltschaft des Kantons Bern (Art. 24 lit. b des Einführungsgesetzes zur Zivilprozessordnung, zur Strafprozessord- nung und zur Jugendstrafprozessordnung des Kantons Bern vom 11. Juni 2009 [EG ZSJ/BE; BSG 271.1]), der örtlich zuständigen Leitenden Staatsan- wältin des Kantons St. Gallen (Art. 24 des Einführungsgesetzes zur Schwei- zerischen Straf- und Jugendstrafprozessordnung des Kantons St. Gallen vom 3. August 2010 [EG-StPO/SG; sGS 962.1]) und dem fallführenden Staatsanwalt des Kantons Appenzell Ausserrhoden (vgl. Art. 40 Abs. 2 i.V.m. Abs. 1 lit. a des Justizgesetzes des Kantons Appenzell Ausserrhoden vom 13. September 2010 [bGS 145.31]; vgl. auch Art. 39 Abs. 3 des Justizgeset- zes, wonach der Leitende Staatsanwalt zuständig ist, Rechtsmittel beim Schweizerischen Bundesgericht einzulegen). Die übrigen Eintretensvoraus- setzungen geben zu keinen weiteren Bemerkungen Anlass. Auf das Gesuch ist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w:t>
      </w:r>
    </w:p>
    <w:p>
      <w:r>
        <w:rPr>
          <w:b/>
        </w:rPr>
        <w:t>E. 2.2</w:t>
      </w:r>
    </w:p>
    <w:p>
      <w:r>
        <w:t>Der Ausführungsort geht als primärer Gerichtsstand allen anderen Gerichts- ständen vor (BAUMGARTNER, Die Zuständigkeit im Strafverfahren, S. 58 m.w.H.; SCHWERI/BÄNZIGER, Interkantonale Gerichtsstandsbestimmung in Strafsachen, 2. Aufl. 2004, N. 60) und befindet sich dort, wo der Täter ge- handelt hat (BGE 86 IV 222 E. 1). Der Erfolgsort ist bei der Bestimmung des Gerichtsstands gegenüber dem Ausführungsort subsidiär und gilt nur dann, wenn es sich um ein Erfolgsdelikt oder ein konkretes Gefährdungsdelikt han- delt, der Ausführungsort im Ausland liegt und der Ort des Erfolgseintritts be- kannt ist und in der Schweiz liegt (vgl. Art. 31 Abs. 1 Satz 2 StPO; BGE 86 IV 222 E. 1; SCHWERI/BÄNZIGER, a.a.O., N. 60 f., 76, 95 ff.; vgl. zum Ganzen Beschluss des Bundesstrafgerichts BG.2020.3 vom 27. Februar 2020 E. 4.1).</w:t>
      </w:r>
    </w:p>
    <w:p>
      <w:r>
        <w:t>- 7 -</w:t>
      </w:r>
    </w:p>
    <w:p>
      <w:r>
        <w:rPr>
          <w:b/>
        </w:rPr>
        <w:t>E. 2.3</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StGB).</w:t>
      </w:r>
    </w:p>
    <w:p>
      <w:r>
        <w:rPr>
          <w:b/>
        </w:rPr>
        <w:t>E. 2.4</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w:t>
      </w:r>
    </w:p>
    <w:p>
      <w:r>
        <w:rPr>
          <w:b/>
        </w:rPr>
        <w:t>E. 3.2</w:t>
      </w:r>
    </w:p>
    <w:p>
      <w:r>
        <w:t>Vorab ist präzisierend festzuhalten, dass die Sachverhaltsdarstellung der StA Zürich-Limmat in den Akten insofern keine Stütze findet, als die bean- tragten Covid-19-Kredite von Fr. 110'000.00 zugunsten des Einzelunterneh- mens A. und von Fr. 98'000.00 zugunsten der D. AG auf die Konti bei der Bank B. mit der Nr.1 (A.) und Nr. 2 (D. AG) ausbezahlt worden seien. Auf dem Kontoauszug Nr. 1 ist keine entsprechende Gutschrift ersichtlich (Akten StA Zürich-Limmat, act. 5/1/5), auch nicht auf dem Kontoauszug Nr. 2. In diesem Sinne äusserte sich auch A. anlässlich seiner Einvernahme vom 22. Oktober 2020. Auf die Frage, in welcher Höhe ihm Kredit gewährt worden sei, gab er an, er habe erst später gemerkt, dass die [Bank B.] gar kein Geld auf das Konto eingezahlt hätten. Man könne einfach für diesen Betrag ins Minus gehen (Akten StA Zürich-Limmat, act. 4/1, Frage/Antwort 130). Auf die Folgefrage, ob das gut oder schlecht sei, gab er an, es spiele keine Rolle. Er habe nie gesehen, dass dies einbezahlt worden sei. Erst einen Monat später habe er bemerkt, dass das Konto ins Minus gehe (Akten StA Zürich- Limmat, act. 4/1, Frage/Antwort 131).</w:t>
      </w:r>
    </w:p>
    <w:p>
      <w:r>
        <w:t>- 8 -</w:t>
      </w:r>
    </w:p>
    <w:p>
      <w:r>
        <w:t>Die eingehende Beurteilung der unmittelbaren Vermögensverminderung bei der Bank B. ist indessen nicht im vorliegenden Verfahren vorzunehmen, in Berücksichtigung des Grundsatzes in dubio pro duriore ist sie jedoch vorerst anzunehmen.</w:t>
      </w:r>
    </w:p>
    <w:p>
      <w:r>
        <w:rPr>
          <w:b/>
        </w:rPr>
        <w:t>E. 3.3</w:t>
      </w:r>
    </w:p>
    <w:p>
      <w:r>
        <w:t>Ein Betrug gilt als dort verübt, wo der Täter jemanden durch Vorspiegelung oder Unterdrückung von Tatsachen zu einem Verhalten bestimmt, das den sich Irrenden oder einen Dritten am Vermögen schädigt (Urteil des Bundes- gerichts 6B.127/2013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w:t>
      </w:r>
    </w:p>
    <w:p>
      <w:r>
        <w:t>Gemäss bundesgerichtlicher Rechtsprechung ist Betrug ein Erfolgsdelikt mit einem doppelten Erfolg (kupiertes Erfolgsdelikt). Der Erfolg liegt sowohl am Ort der Entreicherung als auch am Ort, an dem die beabsichtigte Bereiche- rung eingetreten ist bzw. eintreten sollte (BGE 125 IV 177 E. 2a S. 180; 124 IV 241 E. 4c; 109 IV 1 E. 3c S. 3; Urteil des Bundesgerichts 6P.29/2006 vom 21. März 2006 E. 3; Entscheid des Bundesstrafgerichts BG.2009.33 vom</w:t>
      </w:r>
    </w:p>
    <w:p>
      <w:r>
        <w:rPr>
          <w:b/>
        </w:rPr>
        <w:t>E. 3.4</w:t>
      </w:r>
    </w:p>
    <w:p>
      <w:r>
        <w:t>Hinsichtlich des (mehrfachen) Betrugs scheitert vorliegend eine Anknüpfung über die Ausführungsorte, da diese nach aktueller Aktenlage im Ausland lie- gen (Akten StA Zürich-Limmat, act. 1/3, 2/5, 4/1 Frage/Antwort 122). Es ist deshalb auf die subsidiären Anknüpfungsmöglichkeiten an den Orten der (Teil-)Erfolgseintritte zurückzugreifen (BAUMGARTNER, a.a.O., S. 107).</w:t>
      </w:r>
    </w:p>
    <w:p>
      <w:r>
        <w:t>Die Kreditanträge der Bank B. sollen an die F.-Strasse in V./BE bzw. an die E-Mail-Adresse […] eingereicht worden sein (Akten StA Zürich-Limmat, act. 1/3, 1/7, 2/5, 4/1 Frage/Antwort 124). Die Orte der Irrtumserregung und die Orte der Vermögensdisposition lassen sich den Akten nicht entnehmen. Ob der Kreditantrag von Mitarbeitenden der Bank B. in V./BE oder andern- orts bearbeitet wurde, erschliesst sich aus den Akten nicht. Im Kanton Bern befindet sich Sitz der mutmasslich geschädigten Bank B., auf welchen im Sinne des oben Ausgeführten (vgl. vorn E. 3.3) für die Bestimmungen des Gerichtsstandes nicht abzustellen ist (vgl. Beschluss des Bundesstrafge- richts BG.2021.17 vom 16. Juni 2021 E. 3.3.3).</w:t>
      </w:r>
    </w:p>
    <w:p>
      <w:r>
        <w:t>Als Ort, an dem die beabsichtigte Bereicherung eingetreten ist, resp. eintre- ten sollte, ist der Ort der Kontoführung anzunehmen (vgl. Entscheid des Bun- desstrafgerichts BG.2009.33 vom 5. Februar 2010 E. 2.5). Ist der Ort der Kontoführung gerichtsstandsbestimmend, ist auf den Ort der Kundenbetreu- ung abzustellen (Beschluss des Bundesstrafgerichts BG.2018.5 vom 27. März 2018 E. 2.4). Vorliegend wurden die Kredite einerseits über das Konto Nr. 1 und andererseits über das Konto Nr. 2 gewährt. Gemäss Ver- dachtsmeldung vom 24. Juli 2020 ist Ort der Geschäftsbeziehung betreffend das Konto Nr. 1 X./AR (Akten StA Zürich-Limmat, act. 1/2). Gemäss Ver- dachtsmeldung vom 25. September 2020 ist Ort der Geschäftsbeziehung betreffend das Konto Nr. 2 W./SG (Akten StA Zürich-Limmat, act. 2/4). Damit bestehen Anknüpfungspunkte im Kanton Appenzell Ausserrhoden und im Kanton St. Gallen.</w:t>
      </w:r>
    </w:p>
    <w:p>
      <w:r>
        <w:rPr>
          <w:b/>
        </w:rPr>
        <w:t>E. 3.5</w:t>
      </w:r>
    </w:p>
    <w:p>
      <w:r>
        <w:t>In der vorliegenden Angelegenheit ist die Meldung bzw. die Anzeige der Mel- destelle für Geldwäscherei vom 10. August 2020 bei der StA AR erstattet</w:t>
      </w:r>
    </w:p>
    <w:p>
      <w:r>
        <w:t>- 10 -</w:t>
      </w:r>
    </w:p>
    <w:p>
      <w:r>
        <w:t>worden, wo dementsprechend ein Verfahren eröffnet wurde. Dort ist nach heutigem Erkenntnisstand ein zuständigkeitsrechtlicher Anknüpfungspunkt für den Betrugsvorwurf zu erkennen. Eine Tat, die mit schwererer Strafe be- droht wäre, wird A. nicht vorgeworfen. In keinem anderen Kanton sind frühere Verfolgungshandlungen vorgenommen worden. Somit liegt der ge- setzliche Gerichtsstand für die A. zur Last gelegten Straftaten im Kanton Ap- penzell Ausserrhoden.</w:t>
      </w:r>
    </w:p>
    <w:p>
      <w:r>
        <w:t>4.</w:t>
      </w:r>
    </w:p>
    <w:p>
      <w:r>
        <w:t>4.1 Der Kanton Appenzell Ausserrhoden stellt sich auf den Standpunkt, dass der Kanton Zürich nicht bloss die Übernahme des Verfahrens in Aussicht gestellt habe. Mit Schreiben vom 18. August 2020 habe der Kanton Zürich die Über- nahme des Verfahrens angezeigt. Mit Verfügung vom 9. Oktober 2020 sei das Verfahren tatsächlich übernommen worden. Eine einmal begründete Zu- ständigkeit aufgrund bekannter Fakten werde ohne neue Tatsachen nach- träglich nicht mehr geändert.</w:t>
      </w:r>
    </w:p>
    <w:p>
      <w:r>
        <w:t>4.2 Anerkennt ein Kanton seinen Gerichtsstand, so ist er grundsätzlich dabei zu behaften, es sei denn, die Anerkennung beruhe auf einem offensichtlichen Versehen oder auf offensichtlich falschen rechtlichen Gesichtspunkten (Ent- scheid des Bundesstrafgerichts BG.2008.2 vom 25. Januar 2008 E. 3.2 m.w.H.; vgl. SCHWERI/BÄNZIGER, a.a.O., N. 455 f.). Gemass Ziff. 2 der Emp- fehlungen zur Bestimmung der örtlichen Zuständigkeit [Gerichtsstandsemp- fehlungen] der Schweizerischen Staatsanwälte-Konferenz vom 21. Novem- ber 2019 soll eine einmal begründete Zuständigkeit aufgrund bekannter Fak- ten ohne neue Tatsachen nachträglich nicht mehr geändert werden, selbst wenn ein Verfahren oder Verfahrensteil eingestellt wurde.</w:t>
      </w:r>
    </w:p>
    <w:p>
      <w:r>
        <w:t>4.3 Der Kanton Zürich ging bei der Ankündigung der Übernahme des Verfahrens gestützt auf die damals aktenkundigen Informationen davon aus, dass A. zum tatrelevanten Zeitpunkt Wohnsitz in Z./ZH hatte, was – wie sich nach entsprechenden Abklärungen ergab – nicht den Fakten entsprach. Insofern stellte die Wohnsitzsituation eine neue Tatsache dar. Ferner stützte er sich auf den Hinweis der StA AR, wonach für den Gerichtsstand vorliegend mass- gebend sei, wo das Unternehmen – dessen Namen beim Kreditantrag als angebliche kreditbeantragende Person angegeben wurde – letztmals ihren Sitz gehabt habe. Die Anerkennung beruhte damit auf offensichtlich falschen rechtlichen Angaben. Vor diesem Hintergrund ist es vorliegend gerechtfer- tigt, auf den Anerkennungsentscheid zurückzukommen.</w:t>
      </w:r>
    </w:p>
    <w:p>
      <w:r>
        <w:t>- 11 -</w:t>
      </w:r>
    </w:p>
    <w:p>
      <w:r>
        <w:rPr>
          <w:b/>
        </w:rPr>
        <w:t>E. 5</w:t>
      </w:r>
    </w:p>
    <w:p>
      <w:r>
        <w:t>Nach dem Gesagten ist das Gesuch insofern gutzuheissen, als die Strafver- folgungsbehörden des Kantons Appenzell Ausserrhoden für berechtigt und verpflichtet zu erklären sind, die A. zur Last gelegten Straftaten zu verfolgen und zu beurteilen.</w:t>
      </w:r>
    </w:p>
    <w:p>
      <w:r>
        <w:rPr>
          <w:b/>
        </w:rPr>
        <w:t>E. 6</w:t>
      </w:r>
    </w:p>
    <w:p>
      <w:r>
        <w:t>Es sind keine Gerichtskosten zu erheben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