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BG.2021.49 vom 5. Oktober 2022</w:t>
      </w:r>
    </w:p>
    <w:p>
      <w:r>
        <w:t>Bundesstrafgericht, 2022-10-05, DE</w:t>
      </w:r>
    </w:p>
    <w:p>
      <w:r>
        <w:rPr>
          <w:b/>
        </w:rPr>
        <w:t xml:space="preserve">Quelle: </w:t>
      </w:r>
      <w:r>
        <w:t>https://mcp.opencaselaw.ch/entscheid/bstger_BG.2021.49</w:t>
      </w:r>
    </w:p>
    <w:p>
      <w:r>
        <w:t>FR: TPF BG.2021.49 du 5 octobre 2022</w:t>
      </w:r>
    </w:p>
    <w:p>
      <w:r>
        <w:t>IT: TPF BG.2021.49 del 5 ottobre 2022</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 sofern dies nicht bereits geschehen ist – hat</w:t>
      </w:r>
    </w:p>
    <w:p>
      <w:r>
        <w:t>- 4 -</w:t>
      </w:r>
    </w:p>
    <w:p>
      <w:r>
        <w:t>einen Meinungsaustausch im Sinne von Art. 39 Abs. 2 StPO einzuleiten oder ihre eigene Zuständigkeit direkt durch Verfügung zu bestätigen (TPF 2013 179 E. 1.1). Mit anderen Worten, hat die Partei, welche den Gerichtsstand anfechten will, dies zunächst bei der befassten Strafbehörde zu tun und die Überweisung des Falles an die nach ihrer Ansicht zuständige Staatsanwalt- schaft zu beantragen. Tut sie dies nicht, ist gemäss der Praxis der Beschwer- dekammer des Bundesstrafgerichts, ungeachtet einer falschen Rechtsmit- telbelehrung, nicht auf die Beschwerde einzutreten (Beschlüsse des Bun- desstrafgerichts BG.2020.58 vom 16. Februar 2021 E. 1.2; BG.2020.59 vom 9. Februar 2021 E. 1.2; BG.2020.26 vom 9. Juli 2020 E. 1.2; ferner BG.2020.17 vom 17. Juni 2020 E. 1.2).</w:t>
      </w:r>
    </w:p>
    <w:p>
      <w:r>
        <w:t>Wenn eine Staatsanwaltschaft verfügt, dass sie zuständig sei, kann dieje- nige Partei sich innert zehn Tagen bei der Beschwerdekammer des Bun- desstrafgerichts beschweren (Art. 41 Abs. 2 Satz 1 StPO i.V.m. Art. 40 Abs. 2 StPO und Art. 37 Abs. 1 StBOG), die vorbringt, ihr ordentlicher Ge- richtsstand (Art. 31–37 StPO i.V.m. Art. 38 Abs. 1 und Art. 41 Abs. 1 StPO) werde missachtet (Art. 41 Abs. 2 Satz 2 StPO).</w:t>
      </w:r>
    </w:p>
    <w:p>
      <w:r>
        <w:rPr>
          <w:b/>
        </w:rPr>
        <w:t>E. 1.2</w:t>
      </w:r>
    </w:p>
    <w:p>
      <w:r>
        <w:t>Der Beschwerdeführer hat gegenüber der StA TI in seiner Strafanzeige vom 30. April 2021 erklärt, sich am Strafverfahren als Privatkläger beteiligen zu wollen (act. 1.5, Ziff. 19). Soweit er sich als Privatkläger konstituiert hat (Art. 104), ist er grundsätzlich zur Beschwerde legitimiert (vgl. Beschluss des Bundesstrafgerichts BG.2012.46 vom 21. November 2012).</w:t>
      </w:r>
    </w:p>
    <w:p>
      <w:r>
        <w:rPr>
          <w:b/>
        </w:rPr>
        <w:t>E. 1.3</w:t>
      </w:r>
    </w:p>
    <w:p>
      <w:r>
        <w:t>Vorliegend wurde kein Überweisungsverfahren durchgeführt. Entgegen der in der Übernahmeverfügung vom 30. Juli 2021 enthaltenen Rechtsmittelbe- lehrung hätte der anwaltlich vertretene Beschwerdeführer zunächst an die mit der Verfolgung betraute StA BS gelangen sollen, damit diese ihm das rechtliche Gehör in Bezug auf das Übernahmeersuchen gewähren konnte (vgl. Beschlüsse des Bundesstrafgerichts BG.2020.59 vom 9. Februar 2021; BG.2020.60 vom 28. Januar 2021 m.w.H.; BG.2020.32 vom 25. Au- gust 2020). Vor diesem Hintergrund ist auf die Beschwerde nicht einzutreten.</w:t>
      </w:r>
    </w:p>
    <w:p>
      <w:r>
        <w:rPr>
          <w:b/>
        </w:rPr>
        <w:t>E. 2</w:t>
      </w:r>
    </w:p>
    <w:p>
      <w:r>
        <w:t>Wie nachfolgend aufgezeigt wird, wäre die Beschwerde im Übrigen auch in- haltlich unbegründet.</w:t>
      </w:r>
    </w:p>
    <w:p>
      <w:r>
        <w:rPr>
          <w:b/>
        </w:rPr>
        <w:t>E. 2.1</w:t>
      </w:r>
    </w:p>
    <w:p>
      <w:r>
        <w:t>Der Beschwerdeführer begründet die Beschwerde gegen die Übernahme- verfügung im Wesentlichen damit, dass die Anwendung von Art. 33 StPO (recte: Art. 34 StPO) formal zwar korrekt sei, sich aufgrund der konkreten Umstände, insbesondere angesichts des Schwerpunkts der deliktischen Tä- tigkeit, aber ein Abweichen vom ordentlichen Gerichtsstand i.S.v. Art. 40</w:t>
      </w:r>
    </w:p>
    <w:p>
      <w:r>
        <w:t>- 5 -</w:t>
      </w:r>
    </w:p>
    <w:p>
      <w:r>
        <w:t>Abs. 3 StPO aufdränge. Im Sinne der Prozessökonomie und der Verfahrens- einheit, müsse die StA TI für die Verfahren mit Nr. VT.2021.12426 und INC.2021.4046 zuständig sein (act. 1).</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2.3</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 ren Sachverhalt abzustellen bzw. das schwerere Delikt anzunehmen ist (vgl. Beschluss des Bundesstrafgerichts BG.2014.10 vom 10. Juni 2014 E. 2.1).</w:t>
      </w:r>
    </w:p>
    <w:p>
      <w:r>
        <w:rPr>
          <w:b/>
        </w:rPr>
        <w:t>E. 2.4</w:t>
      </w:r>
    </w:p>
    <w:p>
      <w:r>
        <w:t>Gegen B., C. und D. wird im Kanton Basel-Stadt wegen Veruntreuung, Ur- kundenfälschung sowie falscher Anschuldigung ermittelt. In der, dem Ver- fahren zugrundeliegenden, Strafanzeige vom 30. April 2021 schildert der Be- schwerdeführer im Wesentlichen, dass seine Ehefrau D. und sein Schwie- gervater C. sich der E. SA, deren Aktien zu 99% von ihm erworben worden seien, unrechtmässig bemächtigt haben sollen. Dies mit der Hilfe von B., dem Verwalter der E. SA. Die Beschuldigten sollen das Aktienzertifikat des Beschwerdeführers veruntreut und als dann mittels diverser gefälschter Ur- kunden die Eintragung von C. als einzigen Verwaltungsrat der E. SA im Han- delsregister veranlasst haben. In der Folge habe D., in Begleitung von C., am 6. Juli 2019 bei der Kantonspolizei Basel-Stadt wider besseres Wissen Strafanzeige gegen den Beschwerdeführer wegen Diebstahls eines auf die E. SA eingelösten Fahrzeugs erstattet. Aufgrund des letztgenannten Vor- wurfs hat die StA BS am 6. Juli 2019 gegen den Beschwerdeführer ein Straf- verfahren wegen Diebstahls (VT.2019.27867) eröffnet.</w:t>
      </w:r>
    </w:p>
    <w:p>
      <w:r>
        <w:rPr>
          <w:b/>
        </w:rPr>
        <w:t>E. 2.5.1</w:t>
      </w:r>
    </w:p>
    <w:p>
      <w:r>
        <w:t>Gemäss Art. 303 Ziff. 1 StGB wird mit Freiheitsstrafe oder Geldstrafe be- straft, wer einen Nichtschuldigen wider besseres Wissen bei der Behörde eines Verbrechens oder Vergehens beschuldigt, in der Absicht, eine Straf- verfolgung gegen ihn herbeizuführen. Der Tatbestand der falschen Anschul- digung dient in erster Linie dem Schutz der Zuverlässigkeit der Rechtspflege.</w:t>
      </w:r>
    </w:p>
    <w:p>
      <w:r>
        <w:t>- 6 -</w:t>
      </w:r>
    </w:p>
    <w:p>
      <w:r>
        <w:t>Die Tathandlung führt zu einem unnützen Einsatz öffentlicher Mittel. Dane- ben handelt es sich bei der falschen Anschuldigung aber auch um ein Delikt gegen die Person. Geschützt werden danach die Persönlichkeitsrechte zu Unrecht Angeschuldigter mit Bezug auf deren Ehre, Freiheit, Privatsphäre, Vermögen usw. (BGE 136 IV 170 E. 2.1; 132 IV 20 E. 4.1). Die Strafnorm erfasst nebst anderem die direkt gegenüber der Behörde vorgebrachte fal- sche Anschuldigung (vgl. Art. 303 Ziff. 1 Abs. 1 StGB). Die Tathandlung rich- tet sich gegen eine in Bezug auf die behauptete Straftat nichtschuldige Per- son. Nicht schuldig ist die Person, welche die strafbare Handlung nicht be- gangen hat. Der subjektive Tatbestand erfordert Vorsatz und in Bezug auf die Unwahrheit der Beschuldigung Handeln wider besseres Wissen. Das Bewusstsein, die Behauptung könnte möglicherweise falsch sein, genügt mithin nicht. Der Täter muss vielmehr sicher darum wissen, dass die An- schuldigung unwahr ist. Eventualvorsatz scheidet insofern aus (BGE 136 IV 170 E. 2.1 S. 175 ff.; s.a. Urteil des Bundesstrafgerichts SK.2019.39 vom 26. November 2019 E. 2.2.1-2.2.6; je mit zahlreichen Hinweisen zur Literatur und Rechtsprechung). Da der Tatbestand der falschen Anschuldigung lediglich Geldstrafe und Frei- heitsstrafe androht, ohne die maximale Dauer der Freiheitsstrafe konkret zu bezeichnen, beträgt die Höchstdauer der angedrohten Freiheitsstrafe 20 Jahre (vgl. Art. 40 Abs. 2 Satz 1 StGB; DELNON/RÜDY, Basler Kommentar,</w:t>
      </w:r>
    </w:p>
    <w:p>
      <w:r>
        <w:rPr>
          <w:b/>
        </w:rPr>
        <w:t>E. 2.5.2</w:t>
      </w:r>
    </w:p>
    <w:p>
      <w:r>
        <w:t>Die weiteren vom Beschwerdeführer angezeigten Delikte, namentlich Verun- treuung (Art. 138 StGB) und Urkundenfälschung (Art. 251 StGB), weisen im Vergleich zur falschen Anschuldigung geringere Strafrahmen aus und sind daher für die Festlegung des Gerichtsstandes nicht von Relevanz.</w:t>
      </w:r>
    </w:p>
    <w:p>
      <w:r>
        <w:rPr>
          <w:b/>
        </w:rPr>
        <w:t>E. 2.6</w:t>
      </w:r>
    </w:p>
    <w:p>
      <w:r>
        <w:t>Da der Vorwurf der falschen Anschuldigung im Vergleich zu den übrigen an- gezeigten Straftatbeständen, das mit der schwersten Strafe bedrohte Delikt darstellt, ist dieser für die Bestimmung des gesetzlichen Gerichtsstandes massgebend. Die Handlung haben die Beschuldigten D. und C. mutmasslich durch Anzeigeerstattung bei der Kantonspolizei Basel-Stadt ausgeführt. Der Handlungsort der vorgeworfenen falschen Anschuldigung liegt folglich im Kanton Basel-Stadt. Dies wird auch vom Beschwerdeführer nicht in Abrede gestellt. Somit liegt der gesetzliche Gerichtsstand im Kanton Basel-Stadt und die Strafverfolgungsbehörden einigten sich richtigerweise in Anwendung von Art. 34 Abs. 1 StPO auf den Ort, an dem gegen die Beschuldigten wegen des mit der schwersten Strafe bedrohten Delikts ermittelt wird.</w:t>
      </w:r>
    </w:p>
    <w:p>
      <w:r>
        <w:t>- 7 -</w:t>
      </w:r>
    </w:p>
    <w:p>
      <w:r>
        <w:rPr>
          <w:b/>
        </w:rPr>
        <w:t>E. 2.7.1</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Die Überlegungen, welche den gesetzlichen Gerichtsstand als unzweckmäs- sig erscheinen lassen, müssen sich gebieterisch aufdrängen.</w:t>
      </w:r>
    </w:p>
    <w:p>
      <w:r>
        <w:rPr>
          <w:b/>
        </w:rPr>
        <w:t>E. 2.7.2</w:t>
      </w:r>
    </w:p>
    <w:p>
      <w:r>
        <w:t>Weder die Vorbringen des Beschwerdeführers (vgl. obige E.2.1), noch ein Schwerpunkt der deliktischen Tätigkeit rechtfertigen im Sinne von Art. 40 Abs. 3 StPO ein Abweichen vom ordentlichen Gerichtsstand. Ebenso wenig sind dafür andere triftige Gründe erkennbar. Vielmehr noch dient die Zustän- digkeit der StA BS, die bereits das Strafverfahren VT.2019.27867 gegen den Beschwerdeführer führt und welches mithin das Gegenstück zum hier fragli- chen Verfahren VT.2021.12426 bildet, dem Grundsatz der Prozessökono- mie. Darüber hinaus liegt es auch im Interesse der Wahrung der Verteidi- gungsrechte aller Beteiligten, in ihren jeweilig unterschiedlichen Funktionen als Beschuldigte einerseits und als Geschädigte/Strafkläger andererseits, wenn die StA BS auch für das hier streitige Verfahren zuständig ist, verblei- ben somit Anzeige und Gegenanzeige in der Zuständigkeit einer Staatsan- waltschaft.</w:t>
      </w:r>
    </w:p>
    <w:p>
      <w:r>
        <w:t>3. Bei diesem Ausgang des Verfahrens wären die Gerichtskosten dem unter- liegenden Beschwerdeführer aufzuerlegen (vgl. Art. 428 Abs. 1 StPO). Da der Beschwerdeführer indes gemäss der unzutreffenden Rechtsmittelbeleh- rung der Übernahmeverfügung vom 30. Juli 2021 handelte, auf deren Rich- tigkeit er vertrauen durfte (vgl. BGE 138 I 49 E. 8.3.2), ist auf die Erhebung einer Gerichtsgebühr zu verzichten. Die Bundesstrafgerichtskasse ist anzu- weisen, dem Beschwerdeführer den geleisteten Kostenvorschuss zurückzu- erstatten.</w:t>
      </w:r>
    </w:p>
    <w:p>
      <w:r>
        <w:t>- 8 -</w:t>
      </w:r>
    </w:p>
    <w:p>
      <w:r>
        <w:rPr>
          <w:b/>
        </w:rPr>
        <w:t>E. 4</w:t>
      </w:r>
    </w:p>
    <w:p>
      <w:r>
        <w:t>Aufl. 2019, Art. 303 StGB N.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