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BG.2021.45 vom 10. August 2021</w:t>
      </w:r>
    </w:p>
    <w:p>
      <w:r>
        <w:t>Bundesstrafgericht, 2021-08-10, DE</w:t>
      </w:r>
    </w:p>
    <w:p>
      <w:r>
        <w:rPr>
          <w:b/>
        </w:rPr>
        <w:t xml:space="preserve">Quelle: </w:t>
      </w:r>
      <w:r>
        <w:t>https://mcp.opencaselaw.ch/entscheid/bstger_BG.2021.45</w:t>
      </w:r>
    </w:p>
    <w:p>
      <w:r>
        <w:t>FR: TPF BG.2021.45 du 10 août 2021</w:t>
      </w:r>
    </w:p>
    <w:p>
      <w:r>
        <w:t>IT: TPF BG.2021.45 del 10 agosto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separaten Bemerkungen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in ständiger Praxis auf Fakten, nicht auf Hypothesen. Es gilt der aus dem Legalitätsprinzip flies- sende Grundsatz in dubio pro duriore (BGE 138 IV 186 E. 4.1). Daraus leitet sich für die Bestimmung des Gerichtsstandes ab, dass im Zweifelsfall auf den für den Beschuldigten ungünstigeren Sachverhalt abzustellen bzw. das schwerere Delikt anzunehmen ist (statt vieler Beschluss des Bundesstrafge- richts BG.2019.14 vom 28. Mai 2019 E. 5).</w:t>
      </w:r>
    </w:p>
    <w:p>
      <w:r>
        <w:rPr>
          <w:b/>
        </w:rPr>
        <w:t>E. 3.1</w:t>
      </w:r>
    </w:p>
    <w:p>
      <w:r>
        <w:t>Der Veruntreuung macht sich strafbar, wer sich eine ihm anvertraute fremde bewegliche Sache aneignet, um sich oder einen andern damit unrechtmäs- sig zu bereichern (Art. 138 Ziff. 1 Abs. 1 StGB). Als anvertraut gilt, was je- mand mit der Verpflichtung empfängt, es in bestimmter Weise im Interesse</w:t>
      </w:r>
    </w:p>
    <w:p>
      <w:r>
        <w:t>- 4 -</w:t>
      </w:r>
    </w:p>
    <w:p>
      <w:r>
        <w:t>des Treugebers zu verwenden, insbesondere es zu verwahren, zu verwalten oder einem anderen abzuliefern (BGE 133 IV 21 E. 6.2). Gemäss einer an- deren Umschreibung ist anvertraut, was jemand mit der besonderen Ver- pflichtung empfängt, es dem Treugeber zurückzugeben oder es für diesen einem Dritten weiterzuleiten, wobei der Treugeber seine Verfügungsmacht über das Anvertraute aufgibt. Die Werterhaltungspflicht kann auf ausdrückli- cher oder stillschweigender Abmachung beruhen (BGE 143 IV 297 E. 1.3).</w:t>
      </w:r>
    </w:p>
    <w:p>
      <w:r>
        <w:rPr>
          <w:b/>
        </w:rPr>
        <w:t>E. 3.2</w:t>
      </w:r>
    </w:p>
    <w:p>
      <w:r>
        <w:t>Aufgrund der Vertragsunterzeichnung war dem Beschuldigten sowohl be- kannt, dass die Leasinggesellschaft den Vertrag wegen ausstehenden Zah- lungen auflösen konnte als auch die Konsequenz der Vertragsauflösung, na- mentlich die Rückgabepflicht des geleasten Fahrzeugs. In Anwendung des Grundsatzes in dubio pro duriore ist auch davon auszugehen, dass die Nicht- rückgabe des geleasten Fahrzeugs mit Aneignungsabsicht erfolgte und der Beschuldigte sich nach Art. 138 Ziff. 1 Abs. 1 StGB strafbar gemacht haben könnte (vgl. BGE 143 IV 297 E. 1.4; Urteil des Bundesgerichts 6B_1340/2015 vom 17. März 2017 E. 2.3).</w:t>
      </w:r>
    </w:p>
    <w:p>
      <w:r>
        <w:rPr>
          <w:b/>
        </w:rPr>
        <w:t>E. 3.3</w:t>
      </w:r>
    </w:p>
    <w:p>
      <w:r>
        <w:t>In Verfahren, in denen eine beschuldigte Person ein geleastes Fahrzeug nach Auflösung des Vertrages nicht zurückgibt, sie eine ausländische Staatsangehörige ist, die bei Einleitung des Verfahrens weder ihren Wohn- sitz noch gewöhnlichen Aufenthalt in der Schweiz hat bzw. sich im Ausland befindet, wobei ihre Auslieferung nicht verlangt wurde, ist nach der Recht- sprechung der Sitz der geschädigten Leasinggesellschaft gerichtsstandsre- levant (Beschlüsse des Bundesstrafgerichts BG.2020.33 vom 9. September 2020 E. 2.2; BG.2018.20 vom 17. Juli 2018 E. 3.4.3). Diese Praxis stützt sich auf die bundesgerichtliche Rechtsprechung, die den Ort der Entreicherung bzw. Schädigung als Erfolgsort von Art. 138 StGB i.V.m. Art. 8 StGB betrach- tet (BGE 124 IV 241 E. 4c und 4d). Das vorgenannte ist auch vorliegend einschlägig und anzuwenden. Es führt zur Zuständigkeit des Kantons Zürich, wo die Leasinggesellschaft ihren Sitz hat.</w:t>
      </w:r>
    </w:p>
    <w:p>
      <w:r>
        <w:rPr>
          <w:b/>
        </w:rPr>
        <w:t>E. 3.4</w:t>
      </w:r>
    </w:p>
    <w:p>
      <w:r>
        <w:t>Der Kanton Zürich wendet gegen seine Zuständigkeit ein, es liege unzwei- deutig ein Betrug vor, der am Ort der Übernahme des Fahrzeuges begangen worden sei (act. 5; Akten LU Lasche 3 Schreiben vom 17. März und 8. Juli 2021): Der Beschuldigte habe am 19. Juni 2020 den Leasingvertrag abge- schlossen, am 22. Juni 2020 die Anzahlung geleistet und das Fahrzeug über- nommen. Nur 3 ½ Wochen später habe er sich nach Unbekannt abgemeldet (am 15. Juli 2020) und die per 1. August 2020 fällige zweite Leasingrate be- reits nicht mehr bezahlt, ebenso wenig wie alle folgenden. Es müsse davon ausgegangen werden, es habe dem Beschuldigten seit Anbeginn am Erfül- lungswillen gefehlt. Er habe somit Vertragstreue nur vorgespiegelt und damit</w:t>
      </w:r>
    </w:p>
    <w:p>
      <w:r>
        <w:t>- 5 -</w:t>
      </w:r>
    </w:p>
    <w:p>
      <w:r>
        <w:t>über seinen Erfüllungswillen getäuscht. Damit habe er sich das Vertrauen des Leasinggebers erschlichen, um sich nach Übergabe des Leasingfahr- zeuges unrechtmässig zu bereichern.</w:t>
      </w:r>
    </w:p>
    <w:p>
      <w:r>
        <w:rPr>
          <w:b/>
        </w:rPr>
        <w:t>E. 3.5</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Angriffsmittel beim Betrug ist die Täuschung des Opfers. Als Täuschung gilt jedes Verhalten, das darauf gerichtet ist, bei einem andern eine von der Wirk- lichkeit abweichende Vorstellung hervorzurufen. Sie ist eine unrichtige Erklä- rung über Tatsachen, das heisst über objektiv feststehende, vergangene oder gegenwärtige Geschehnisse oder Zustände. Der Tatbestand erfordert eine arglistige Täuschung. Betrügerisches Verhalten ist strafrechtlich erst re- levant, wenn der Täter mit einer gewissen Raffinesse oder Durchtriebenheit täuscht. Ob die Täuschung arglistig ist, hängt nicht davon ab, ob sie gelingt. Wenn das Opfer der Täuschung nicht erliegt, entfällt Arglist deswegen nicht notwendigerweise. Es ist dann hypothetisch zu prüfen, ob die Täuschung unter Einbezug der Selbstschutzmöglichkeiten des Opfers als nicht oder nur erschwert durchschaubar erscheint (BGE 143 IV 302 E. 1.2; 135 IV 76 E. 5.1 und 5.2). Art und Intensität der angewendeten Täuschungsmittel müssen eine erhöhte Gefährlichkeit offenbaren. Eine solche Situation liegt bei mehrfachen, raffi- niert aufeinander abgestimmten Lügen (sog. Lügengebäuden) vor, durch welche sich selbst ein kritisches Opfer täuschen lässt, oder bei besonderen Machenschaften im Sinne von Inszenierungen, die durch intensive, plan- mässige und systematische Vorkehrungen, nicht aber notwendigerweise durch eine besondere tatsächliche oder intellektuelle Komplexität gekenn- zeichnet sind. Dagegen genügen einfache Lügen, plumpe Tricks oder leicht überprüfbare falsche Angaben als solche nicht. Bei einfachen falschen An- gaben wird Arglist indessen unter anderem dann bejaht, wenn die Überprü- fung nicht oder nur mit besonderer Mühe möglich oder wenn sie nicht zumut- bar ist (BGE 143 IV 302 E. 1.3.1; 135 IV 76 E. 5.2).</w:t>
      </w:r>
    </w:p>
    <w:p>
      <w:r>
        <w:rPr>
          <w:b/>
        </w:rPr>
        <w:t>E. 3.6</w:t>
      </w:r>
    </w:p>
    <w:p>
      <w:r>
        <w:t>Für den Kanton Zürich soll die Täuschung, ein zentrales Tatbestandsmerk- mal des Betruges, durch Unterzeichnung des Vertrages und Übernahme des Fahrzeuges ohne Erfüllungswillen geschehen sein. Auf den fehlenden Erfül- lungswillen des Beschuldigten wird im Wesentlichen aus dem Zeitablauf der</w:t>
      </w:r>
    </w:p>
    <w:p>
      <w:r>
        <w:t>- 6 -</w:t>
      </w:r>
    </w:p>
    <w:p>
      <w:r>
        <w:t>Geschehnisse geschlossen, die der Kanton Zürich zwischen 22. Juni und 15. Juli 2020 setzt. Der Beschuldigte erhielt am 15. Juni 2020 die fünfjährige Aufenthaltsbewilligung, in die Schweiz eingereist war er gemäss Datenbank- Auszug des luzernischen Einwohnerregisters (Akten LU Lasche 2) bereits am 7. Dezember 2019, wobei sich sein Wohnsitz stets in der Gemeinde X./LU befand. Aufgrund der derzeitigen Erkenntnisse ergibt der Zeitablauf der vorliegend bekannten Geschehnisse nicht genügend konkrete Anhalts- punkte, um einen fehlenden Erfüllungswillen zum Zeitpunkt des Vertragsab- schlusses, eine arglistige Täuschung und damit einen Betrug anzunehmen.</w:t>
      </w:r>
    </w:p>
    <w:p>
      <w:r>
        <w:rPr>
          <w:b/>
        </w:rPr>
        <w:t>E. 3.7</w:t>
      </w:r>
    </w:p>
    <w:p>
      <w:r>
        <w:t>Damit ist der Kanton Zürich berechtigt und verpflichtet, die A. vorgeworfenen strafbaren Handlungen zu verfolgen und zu beurteilen.</w:t>
      </w:r>
    </w:p>
    <w:p>
      <w:r>
        <w:rPr>
          <w:b/>
        </w:rPr>
        <w:t>E. 4</w:t>
      </w:r>
    </w:p>
    <w:p>
      <w:r>
        <w:t>Es ist keine Gerichtsgebühr zu erheben (vgl.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