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BG.2021.41 vom 21. Oktober 2021</w:t>
      </w:r>
    </w:p>
    <w:p>
      <w:r>
        <w:t>Bundesstrafgericht, 2021-10-21, DE</w:t>
      </w:r>
    </w:p>
    <w:p>
      <w:r>
        <w:rPr>
          <w:b/>
        </w:rPr>
        <w:t xml:space="preserve">Quelle: </w:t>
      </w:r>
      <w:r>
        <w:t>https://mcp.opencaselaw.ch/entscheid/bstger_BG.2021.41</w:t>
      </w:r>
    </w:p>
    <w:p>
      <w:r>
        <w:t>FR: TPF BG.2021.41 du 21 octobre 2021</w:t>
      </w:r>
    </w:p>
    <w:p>
      <w:r>
        <w:t>IT: TPF BG.2021.41 del 21 ottobre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rPr>
          <w:b/>
        </w:rPr>
        <w:t>E. 1.2</w:t>
      </w:r>
    </w:p>
    <w:p>
      <w:r>
        <w:t>Das hier zu beurteilende Gesuch wurde form- und fristgerecht eingereicht. In Bezug auf die angezeigten Straftaten wurde im Grundsatz ein erfolgloser Meinungsaustausch zwischen den hierfür zuständigen Behörden der betei- ligten Kantone durchgeführt. Dem Kanton Schwyz ist in diesem Zusammen- hang insoweit zuzustimmen, als beim Kanton Thurgau keine Untersuchung gegen die K. AG hängig ist. Die Strafanzeigen gegen K. AG resp. ihre ver- antwortlichen Personen wurden in den Kantonen Schwyz und Zürich einge- reicht (Sachverhalt Lit. E und F). Richtigerweise ersuchten die Kantone Schwyz und Zürich die StA Frauenfeld um Übernahme der bei ihnen hängi- gen Verfahren (Sachverhalt Lit. E und F). Nach erfolglosem Meinungsaus- tausch hätten die Kantone Schwyz und Zürich als die ersten, mit der Sache befassten Behörden ein allfälliges Gesuch zur Bestimmung des Gerichts- standes an das Bundesstrafgericht betreffend die K. AG einreichen müssen. Dies gilt sinngemäss auch in Bezug auf die im Kanton Schwyz gegen H. AG eingereichte Strafanzeige, welche er dem Kanton Thurgau am 29. März 2021 – in der Ansicht es liege ein Fall konkludenter Anerkennung der Zu- ständigkeit – weiterleitete (Sachverhalt Lit. D i.f.). Hätten die Kantone Schwyz und Zürich die Beschwerdekammer angerufen, wären dieselben Parteien wie vorliegend betroffen. Angesichts des Umstandes, dass die Ver- fahren gegen K. AG und H. AG im engen Zusammenhang zu den Untersu-</w:t>
      </w:r>
    </w:p>
    <w:p>
      <w:r>
        <w:t>- 8 -</w:t>
      </w:r>
    </w:p>
    <w:p>
      <w:r>
        <w:t>chungen gegen B., D. und E. stehen und nachdem sich die Kantone im Rah- men des Meinungsaustausches und des vorliegenden Verfahrens ausführ- lich geäussert haben, ist der Gerichtsstand mit Blick auf das Beschleuni- gungsgebot und die Verfahrensökonomie auch in Bezug auf die Verfahren gegen K. AG und H. AG zu beurteilen.</w:t>
      </w:r>
    </w:p>
    <w:p>
      <w:r>
        <w:rPr>
          <w:b/>
        </w:rPr>
        <w:t>E. 1.3</w:t>
      </w:r>
    </w:p>
    <w:p>
      <w:r>
        <w:t>Nach dem Gesagten ist auf das Gesuch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w:t>
      </w:r>
    </w:p>
    <w:p>
      <w:r>
        <w:rPr>
          <w:b/>
        </w:rPr>
        <w:t>E. 2.2</w:t>
      </w:r>
    </w:p>
    <w:p>
      <w:r>
        <w:t>Gemäss Art. 33 Abs. 1 StPO werden die Teilnehmer einer Straftat von den gleichen Behörden verfolgt wie der Täter. Ist eine Straftat von mehreren Mit- 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 drohte Tat begangen worden ist. Bei gleicher Strafdrohung sind die Behör- den des Ortes zuständig, an dem zuerst Verfolgungshandlungen vorgenom- men worden sind (Art. 34 Abs. 1 StPO). Begehen mehrere Beschuldigte zu- 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die Verfolgungshandlungen zuerst vorgenommen worden sind (vgl. hierzu u.a. Beschlüsse des Bundesstrafgerichts BG.2011.49 vom</w:t>
      </w:r>
    </w:p>
    <w:p>
      <w:r>
        <w:t>- 9 -</w:t>
      </w:r>
    </w:p>
    <w:p>
      <w:r>
        <w:t>19. Januar 2012 E. 2.1; BG.2011.33 vom 28. September 2011 E. 2.2.1; BG.2011.4 vom 10. August 2011 E. 2.2.2).</w:t>
      </w:r>
    </w:p>
    <w:p>
      <w:r>
        <w:rPr>
          <w:b/>
        </w:rPr>
        <w:t>E. 2.3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Zwischen den Parteien ist umstritten, ob vorliegend Art. 102 StGB betreffend die Strafbarkeit des Unternehmens Anwendung findet und der Gerichtsstand deshalb gemäss Art. 36 Abs. 2 StPO und nicht nach den oben erwähnten Regeln gemäss Art. 31 ff. StPO zu bestimmen sei (act. 1, S. 5 ff.; act. 3, S. 5 ff.; act. 4, S. 2).</w:t>
      </w:r>
    </w:p>
    <w:p>
      <w:r>
        <w:rPr>
          <w:b/>
        </w:rPr>
        <w:t>E. 3.2.1</w:t>
      </w:r>
    </w:p>
    <w:p>
      <w:r>
        <w:t>Für das Strafverfahren gegen das Unternehmen nach Artikel 102 StGB sind die Behörden am Sitz des Unternehmens zuständig (Art. 36 Abs. 2 Satz 1 StPO). Wird ein Verfahren gegen ein Unternehmen geführt, ist für den Ge- richtsstand unabhängig vom Begehungs- und Erfolgsort der Sitz des Unter- nehmens, so wie er sich aus dem Handelsregister oder Art. 56 ZGB ergibt, massgebend (MOSER/SCHLAPBACH, Basler Kommentar, 2. Aufl. 2014, Art. 36 StPO N. 3). Dies gilt ebenso, wenn sich das Verfahren wegen des gleichen Sachverhalts auch gegen eine für das Unternehmen handelnde Person rich- tet (Art. 36 Abs. 2 Satz 2 StPO).</w:t>
      </w:r>
    </w:p>
    <w:p>
      <w:r>
        <w:rPr>
          <w:b/>
        </w:rPr>
        <w:t>E. 3.2.2</w:t>
      </w:r>
    </w:p>
    <w:p>
      <w:r>
        <w:t>Gemäss Art. 102 Abs. 1 StGB wird das Verbrechen oder Vergehen dem Un- ternehmen zugerechnet, wenn in einem Unternehmen in Ausübung ge- schäftlicher Verrichtung im Rahmen des Unternehmenszwecks ein Verbre- chen oder Vergehen begangen wird und diese Tat wegen mangelhafter Or- ganisation des Unternehmens keiner bestimmten natürlichen Person zuge- rechnet werden kann. Um die Strafbarkeit des Unternehmens für seine Or- ganisationsdefizite auszulösen, muss das Delikt aus dem Unternehmen be- gangen werden. Der Anlasstäter muss entsprechend organisatorisch in das Unternehmen eingebunden sein (vertraglich, gesellschaftsrechtlich oder je- denfalls faktisch). Anlasstäter der Unternehmensstrafbarkeit können Or-</w:t>
      </w:r>
    </w:p>
    <w:p>
      <w:r>
        <w:t>- 10 -</w:t>
      </w:r>
    </w:p>
    <w:p>
      <w:r>
        <w:t>gane, Gesellschafter oder Mitarbeiter eines Unternehmens sein. Bei Beauf- tragten ist zu differenzieren. Ist etwa die Organisation eines Subunterneh- mens alleine dessen Angelegenheit und liegt nicht im Einfluss- oder Macht- bereich des Primärunternehmens, kann diesem Unternehmen diesbezüglich nicht der Vorwurf mangelhafter Organisation gemacht werden. Von einer an- deren Situation ist auszugehen, wenn der Auftragnehmer einzig für das Un- ternehmen arbeitet und organisatorisch stark in das Unternehmen eingebun- den ist (s. zum Ganzen NIGGLI/GFELLER, Basler Kommentar, 4. Aufl. 2019, Art. 102 StGB N. 64 f. m.w.H.; s.a. FORSTER, Die strafrechtliche Verantwort- lichkeit des Unternehmens nach Art. 102 StGB, 2006, S. 156 ff.). Werden ganze Unternehmensfunktionen und Geschäftsbereiche ausgelagert, kommt es auf den Einzelfall an. So kann das outsourcende Unternehmen unter Um- ständen durchaus für den ausgelagerten Bereich verantwortlich bleiben, weshalb das Fehlverhalten des Outsourcingnehmers dem Outsourcinggeber zugerechnet werden kann (FORSTER, a.a.O., S. 158 ff.; NIGGLI/GFELLER, a.a.O., Art. 102 StGB N. 73 ff. m.w.H.). Dies ist insbesondere dann der Fall, wenn das Unternehmen Tätigkeiten an Dritte überträgt, die es dafür beauf- sichtigt und kontrolliert (NIGGLI/GFELLER, a.a.O., Art. 102 StGB N. 73).</w:t>
      </w:r>
    </w:p>
    <w:p>
      <w:r>
        <w:rPr>
          <w:b/>
        </w:rPr>
        <w:t>E. 3.2.3</w:t>
      </w:r>
    </w:p>
    <w:p>
      <w:r>
        <w:t>Nach der Rechtsprechung mit Bezug auf Art. 102 StGB hat die Strafverfol- gungsbehörde, bei welcher eine Strafanzeige bzw. ein Strafantrag eingegan- gen ist, in einem ersten Schritt festzustellen, ob innerhalb des Unternehmens ein Verbrechen oder Vergehen begangen wurde. Der Gerichtsstand gemäss Art. 36 Abs. 2 StPO ist nur dann in Betracht zu ziehen, wenn ein Anwen- dungsfall von Art. 102 StGB angenommen werden kann. Die Strafverfol- gungsbehörde muss untersuchen, ob gegebenenfalls natürliche Personen hiefür verantwortlich gemacht werden können oder nicht. Sobald die Straf- verfolgungsbehörde über ausreichende Elemente verfügt, welche den Rück- schluss erlauben, dass Art. 102 Abs. 1 StGB anwendbar ist, d.h. sobald keine physische Person identifiziert und die strafrechtliche Verantwortlichkeit des Unternehmens nicht ausgeschlossen werden kann, überweist sie die Sache den Strafverfolgungsbehörden am Sitz des betroffenen Unterneh- mens (TPF 2019 62 E. 4.1; 2012 62 E. 2.1; vgl. auch BAUMGARTNER, Die Zuständigkeit im Strafverfahren 2014, S. 337 f.). Dieses Vorgehen gilt auch dann, wenn es sich bei der Strafverfolgungsbehörde, bei welcher eine Straf- anzeige bzw. ein Strafantrag eingegangen ist, um die Behörde am Sitz des fraglichen Unternehmens handelt. Der Unterschied besteht lediglich darin, dass sie in der Folge das Strafverfahren zuständigkeitshalber weiterführt, wenn keine physische Person identifiziert und die strafrechtliche Verantwort- lichkeit des Unternehmens nicht ausgeschlossen werden kann. Mit anderen Worten ist somit auch die durch Strafanzeige bzw. Strafantrag angerufene Behörde am Sitz des Unternehmens verpflichtet, alle für die Festlegung des</w:t>
      </w:r>
    </w:p>
    <w:p>
      <w:r>
        <w:t>- 11 -</w:t>
      </w:r>
    </w:p>
    <w:p>
      <w:r>
        <w:t>Gerichtsstandes wesentlichen Tatsachen zu erforschen und alle dazu not- wendigen Erhebungen durchzuführen (TPF 2019 62 E. 4.1; Beschluss des Bundesstrafgerichts BG.2016.5 vom 4. April 2016 E. 1.3).</w:t>
      </w:r>
    </w:p>
    <w:p>
      <w:r>
        <w:rPr>
          <w:b/>
        </w:rPr>
        <w:t>E. 3.3.1</w:t>
      </w:r>
    </w:p>
    <w:p>
      <w:r>
        <w:t>Im Kanton Thurgau sind gegen die Beschuldigten Strafverfahren wegen des Verdachts der Widerhandlungen gegen das UWG, des Betrugs (Art. 146 StGB), der unbefugten Datenbeschaffung (Art. 143 StGB) und sexueller Be- lästigung (Art. 198 StGB) hängig. Bei diesen Tatbeständen handelt es sich um keine Delikte gemäss dem abschliessenden Straftatenkatalog von Art. 102 Abs. 2 StGB. Eine der darin aufgelisteten Katalogtaten, die eine ori- ginäre, kumulative bzw. konkurrierende Strafbarkeit des Unternehmens be- gründen würde, kommt gestützt auf die dem Gericht eingereichten Akten nicht in Betracht und wird von den Parteien auch nicht behauptet. Mithin käme allenfalls die Strafbarkeit nach Art. 102 Abs. 1 StGB in Frage. Die auf Art. 102 Abs. 1 StGB beruhende Strafbarkeit ist jedoch subsidiär, d.h. sie besteht nur, wenn die im Rahmen des Unternehmens begangene Tat keiner natürlichen Person zugerechnet werden kann.</w:t>
      </w:r>
    </w:p>
    <w:p>
      <w:r>
        <w:t>Der Gesuchsteller macht jedoch geltend, dass die Untersuchung gegen die identifizierten natürlichen Personen geführt werde (act. 1, S. 7). Die bisheri- gen Ermittlungen in Bezug auf C. AG und K. AG haben zu natürlichen Per- sonen, namentlich zu B., D. und E. geführt. Gemäss Handelsregisterauszug war E. seit dem 31. Mai 2019 der einzige Verwaltungsrat der C. AG (Verfah- rensakten SZ, blauer Ordner, pag. 8.2.002). D. ist der einzige Verwaltungsrat der K. AG seit deren Gründung am 27. April 2018 (Verfahrensakten SZ, blauer Ordner, pag. 8.2.003). Als Organe der betroffenen Gesellschaften könnten D. und E. – allenfalls zusammen mit B. als ehemaligen Inhaber der C. AG und der auf ihn lautenden Telefonnummern – für die angezeigten Straftaten verantwortlich sein (vgl. Art. 716a Abs. 1 Ziff. 5 OR). Dass noch weitere, für die betroffenen Gesellschaften handelnden Personen als Be- schuldigte in Frage kämen, macht der Gesuchsteller nicht geltend.</w:t>
      </w:r>
    </w:p>
    <w:p>
      <w:r>
        <w:rPr>
          <w:b/>
        </w:rPr>
        <w:t>E. 3.3.2</w:t>
      </w:r>
    </w:p>
    <w:p>
      <w:r>
        <w:t>Anlässlich der Einvernahme vom 30. Juli 2020 gab D. gegenüber der StA Frauenfeld an, dass der Versand von Werbe-SMS durch die kroatische Gesellschaft F. erfolgt sei (Verfahrensakten TG, grauer Ordner, Lasche E, pag. 9 ff.). Soweit ersichtlich, hat der Gesuchsteller in Bezug auf die F. keine Ermittlungen getätigt, weshalb auf die Ausführungen zur mutmasslichen Tä- tigkeit der F. in der Gesuchsantwort des Kantons Schwyz verwiesen werden kann. Wie der Kanton Schwyz ausgeführt, ist anzunehmen, dass es sich bei der F. um einen externen, von der C. AG unabhängigen Dienstleister han-</w:t>
      </w:r>
    </w:p>
    <w:p>
      <w:r>
        <w:t>- 12 -</w:t>
      </w:r>
    </w:p>
    <w:p>
      <w:r>
        <w:t>delt, an welchen die C. AG ihre Leistungen betreffend den Versand der mut- masslich inkriminierten Werbe-SMS ausgelagert hat. Der Gesuchsteller legt nicht dar, weshalb ein allfälliges strafrechtliches Verhalten der F. der C. AG zugerechnet werden könnte. Gestützt auf bisherige Ermittlungsergebnisse kann allein aus dem Outsourcing die Anwendbarkeit von Art. 102 StGB resp. Art. 36 Abs. 2 StPO nicht abgeleitet werden.</w:t>
      </w:r>
    </w:p>
    <w:p>
      <w:r>
        <w:rPr>
          <w:b/>
        </w:rPr>
        <w:t>E. 3.3.3</w:t>
      </w:r>
    </w:p>
    <w:p>
      <w:r>
        <w:t>Gestützt auf das Gesagte ist die Untersuchung zunächst gegen die zum ge- genwärtigen Zeitpunkt identifizierten Beschuldigten zu führen. An dieser Schlussfolgerung vermag auch der Hinweis des Gesuchstellers auf Art. 36 Abs. 2 Satz 2 StPO nichts zu ändern. Dieser gelangt nur dann zur Anwen- dung, wenn gemäss Art. 112 Abs. 4 StPO bzw. Art. 102 Abs. 2 StGB wegen des gleichen oder eines konnexen Sachverhalts sowohl ein Verfahren gegen das Unternehmen wie auch gegen eine für das Unternehmen handelnde na- türliche Person geführt und beide Verfahren vereinigt werden (MO- SER/SCHLAPBACH, a.a.O., Art. 36 StPO N. 4; SCHLEGEL, Zürcher Kommentar, 2020, Art. 36 StPO N. 4 m.w.H.). Gegen C. AG, K. AG und H. AG hat keiner der hier beteiligten Kantone ein Strafverfahren nach Art. 102 StGB eröffnet. Deshalb ist anzunehmen, dass sie Art. 102 StGB als nicht einschlägig erach- teten. Da Art. 102 Abs. 2 StPO in Bezug auf die angezeigten Delikte nicht zur Anwendung kommt (supra E. 3.3.1) und natürliche Personen als mögli- che Täter ermittelt werden konnten, bestimmt sich der Gerichtsstand nicht nach Art. 36 Abs. 2 Satz 2 StPO.</w:t>
      </w:r>
    </w:p>
    <w:p>
      <w:r>
        <w:rPr>
          <w:b/>
        </w:rPr>
        <w:t>E. 3.3.4</w:t>
      </w:r>
    </w:p>
    <w:p>
      <w:r>
        <w:t>Mit Bezug auf die H. AG ist festzuhalten, dass der Gesuchsteller sich dies- bezüglich nicht äussert. Soweit aus den dem Gericht eingereichten Akten ersichtlich ist, wurden dazu keine Ermittlungshandlungen vorgenommen, weshalb die Anwendbarkeit von Art. 102 StGB nicht beurteilt werden kann. In Bezug auf die H. AG ist auf das Gesuch deshalb nicht einzutreten. Dies- bezüglich sind weitere Abklärungen notwendig.</w:t>
      </w:r>
    </w:p>
    <w:p>
      <w:r>
        <w:rPr>
          <w:b/>
        </w:rPr>
        <w:t>E. 3.4</w:t>
      </w:r>
    </w:p>
    <w:p>
      <w:r>
        <w:t>Aus dem Gesagten folgt, dass betreffend die Verfahren gegen die K. AG, C. AG, D., E. und B. zum gegenwärtigen Zeitpunkt keine Anwendbarkeit von Art. 102 StGB geboten ist. Dementsprechend ist der Gerichtsstand nach den allgemeinen Regeln von Art. 31-34 zu beurteilen (vgl. Art. 36 Abs. 3 StPO). Der Tatbestand der unbefugten Datenbeschaffung stellt von den hier in Frage kommenden Delikte die mit der schwersten Strafe bedrohte Tat dar (vgl. Art. 143 Abs. 1, Art. 146 Abs. 1 i.V.m. Art. 172ter, Art. 198 StGB sowie Art. 23 UWG). Der Handlungsort wurde bisher nicht ermittelt. Gestützt auf die Ausführungen in der Strafanzeige vom 17. April 2020 und in Anwendung des in dubio pro duriore Grundsatzes kann der Tatbestand der unbefugten</w:t>
      </w:r>
    </w:p>
    <w:p>
      <w:r>
        <w:t>- 13 -</w:t>
      </w:r>
    </w:p>
    <w:p>
      <w:r>
        <w:t>Datenbeschaffung nicht ohne Weiteres ausgeschlossen werden (Sachver- halt Lit. C und E. 2.3; WEISSENBERGER, Basler Kommentar, 2019, Art. 143 StGB N. 6 ff.). Der Kanton Thurgau hat das im Kanton Bern gegen B. und E. eröffnete Verfahren wegen Widerhandlungen gegen Art. 23 Abs. 1 UWG, evtl. geringfügigen Betrugs, unbefugter Datenbeschaffung und sexueller Be- lästigung am 29. Oktober 2020 übernommen (act. 1, S. 4; act. 3, S. 4) und somit seine Zuständigkeit anerkannt. Zudem hat der Kanton Thurgau die ers- ten Verfolgungshandlungen vorgenommen. Damit liegt der gesetzliche Ge- richtsstand im Kanton Thurgau.</w:t>
      </w:r>
    </w:p>
    <w:p>
      <w:r>
        <w:rPr>
          <w:b/>
        </w:rPr>
        <w:t>E. 4</w:t>
      </w:r>
    </w:p>
    <w:p>
      <w:r>
        <w:t>Nach dem Gesagten ist das Gesuch abzuweisen, soweit darauf einzutreten ist. Die Strafbehörden des Kantons Thurgau sind berechtigt und verpflichtet, die C. AG, K. AG, B., D. und E. zur Last gelegten Straftaten zu verfolgen und zu beurteilen.</w:t>
      </w:r>
    </w:p>
    <w:p>
      <w:r>
        <w:rPr>
          <w:b/>
        </w:rPr>
        <w:t>E. 5</w:t>
      </w:r>
    </w:p>
    <w:p>
      <w:r>
        <w:t>Es sind keine Gerichtskosten zu erheben (vgl. Art. 423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