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BG.2021.37 vom 14. Juli 2021</w:t>
      </w:r>
    </w:p>
    <w:p>
      <w:r>
        <w:t>Bundesstrafgericht, 2021-07-14, DE</w:t>
      </w:r>
    </w:p>
    <w:p>
      <w:r>
        <w:rPr>
          <w:b/>
        </w:rPr>
        <w:t xml:space="preserve">Quelle: </w:t>
      </w:r>
      <w:r>
        <w:t>https://mcp.opencaselaw.ch/entscheid/bstger_BG.2021.37</w:t>
      </w:r>
    </w:p>
    <w:p>
      <w:r>
        <w:t>FR: TPF BG.2021.37 du 14 juillet 2021</w:t>
      </w:r>
    </w:p>
    <w:p>
      <w:r>
        <w:t>IT: TPF BG.2021.37 del 14 luglio 2021</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sind vorliegend erfüllt und geben zu keinen Bemerkungen Anlass.</w:t>
      </w:r>
    </w:p>
    <w:p>
      <w:r>
        <w:rPr>
          <w:b/>
        </w:rPr>
        <w:t>E. 2.1</w:t>
      </w:r>
    </w:p>
    <w:p>
      <w:r>
        <w:t>Für die Verfolgung und Beurteilung einer Straftat sind die Behörden des Or- tes zuständig, an dem die Tat verübt worden ist. Liegt nur der Ort, an dem der Erfolg der Straftat eingetreten ist, in der Schweiz, so sind die Behörden dieses Ortes zuständig (Art. 31 Abs. 1 und 2 StPO). Ist die Straftat an meh- reren Orten verübt worden oder ist der Erfolg an mehreren Orten eingetreten, so sind die Behörden des Ortes zuständig, an dem zuerst Verfolgungshand- lungen vorgenommen worden sind (Art. 31 Abs. 2 StPO). Hat eine beschul- digte Person mehrere Straftaten an verschiedenen Orten verübt, so sind für die Verfolgung und Beurteilung sämtlicher Taten die Behörden des Ortes zu-</w:t>
      </w:r>
    </w:p>
    <w:p>
      <w:r>
        <w:t>- 5 -</w:t>
      </w:r>
    </w:p>
    <w:p>
      <w:r>
        <w:t>ständig, an dem die mit der schwersten Strafe bedrohte Tat begangen wor- den ist. Bei gleicher Strafdrohung sind die Behörden des Ortes zuständig, an dem zuerst Verfolgungshandlungen vorgenommen worden sind (Art. 34 Abs. 1 StPO). Die schwerste Tat im gerichtsstandsrechtlichen Sinn ist dieje- nige mit der höchsten abstrakten, gesetzlichen Strafdrohung, wobei Qualifi- zierungs- und Privilegierungselemente des besonderen Teils des StGB, wel- che den Strafrahmen verändern, zu berücksichtigen sind (vgl. Beschluss des Bundesstrafgerichts BG.2013.31 vom 28. Januar 2014 E. 2.1; Entscheid des Bundesstrafgerichts BK_G 031/04 vom 12. Mai 2004 E. 1.2 in fine; BAUM- GARTNER, Die Zuständigkeit im Strafverfahren, 2014, S. 232 m.w.H.). Weisen die zu beurteilenden Tatbestände die gleiche Höchststrafe aus, ist für die Bestimmung des Gerichtstandes die angedrohte Mindeststrafe massgebend (Beschluss des Bundesstrafgerichts BG.2011.17 vom 15. Juli 2011 E. 3.2; BAUMGARTNER, a.a.O., S. 233).</w:t>
      </w:r>
    </w:p>
    <w:p>
      <w:r>
        <w:rPr>
          <w:b/>
        </w:rPr>
        <w:t>E. 2.2</w:t>
      </w:r>
    </w:p>
    <w:p>
      <w:r>
        <w:t>Gemäss Art. 36 Abs. 1 StPO sind bei Straftaten nach den Artikeln 163–171bis StGB die Behörden am Wohnsitz, am gewöhnlichen Aufenthaltsort oder am Sitz der Schuldnerin oder des Schuldners zuständig. Dabei ist massgeblich, wo sich der Sitz zum Zeitpunkt der Konkurseröffnung befunden hat (vgl. die Beschlüsse des Bundesstrafgerichts BG.2018.1 vom 2. März 2018 E. 2.2; BG.2016.4 vom 7. Juni 2016 E. 3.1; BG.2015.23 vom 24. August 2015 E. 3.1; BG.2011.5 vom 1. Juni 2011 E. 2.2).</w:t>
      </w:r>
    </w:p>
    <w:p>
      <w:r>
        <w:rPr>
          <w:b/>
        </w:rPr>
        <w:t>E. 2.3</w:t>
      </w:r>
    </w:p>
    <w:p>
      <w:r>
        <w:t>Die Beurteilung der Gerichtsstandsfrage richtet sich nach der aktuellen Ver- dachtslage. Massgeblich ist nicht, was der beschuldigten Person letztlich nachgewiesen werden kann, sondern der Tatbestand, der Gegenstand der Untersuchung bildet, es sei denn, dieser erweise sich von vornherein als haltlos oder sei sicher ausgeschlossen. Es gilt der Grundsatz in dubio pro duriore, wonach im Zweifelsfall auf den für den Beschuldigten ungünstigeren Sachverhalt abzustellen bzw. das schwerere Delikt anzunehmen ist (vgl. Be- schluss des Bundesstrafgerichts BG.2014.10 vom 10. Juni 2014 E. 2.1).</w:t>
      </w:r>
    </w:p>
    <w:p>
      <w:r>
        <w:rPr>
          <w:b/>
        </w:rPr>
        <w:t>E. 3.1</w:t>
      </w:r>
    </w:p>
    <w:p>
      <w:r>
        <w:t>Dem Beschuldigten wird in Bezug auf die B. GmbH ungetreue Geschäftsbe- sorgung mit Bereicherungsabsicht nach Art. 158 Ziff. 1 Abs. 3 StGB und be- treffend die C. GmbH Misswirtschaft nach Art. 165 StGB vorgeworfen (act. 1, S. 4; act. 4, S. 2).</w:t>
      </w:r>
    </w:p>
    <w:p>
      <w:r>
        <w:rPr>
          <w:b/>
        </w:rPr>
        <w:t>E. 3.2.1</w:t>
      </w:r>
    </w:p>
    <w:p>
      <w:r>
        <w:t>Die maximale Strafdrohung beträgt bei beiden Tatbeständen Freiheitsstrafe von fünf Jahren. Gemäss dem Wortlaut von Art. 158 Ziff. 1 Abs. 3 StGB kann auf Freiheitsstrafe von einem Jahr bis zu fünf Jahren erkannt werden, wenn</w:t>
      </w:r>
    </w:p>
    <w:p>
      <w:r>
        <w:t>- 6 -</w:t>
      </w:r>
    </w:p>
    <w:p>
      <w:r>
        <w:t>der Täter in der Absicht handelt, sich oder einen andern unrechtmässig zu bereichern. Damit weist der Absatz 3 von Art. 158 Ziff. 1 StGB als Qualifizie- rungstatbestand einen strengeren Strafrahmen aus. Ob es sich beim Passus «kann auf Freiheitsstrafe von einem Jahr bis zu fünf Jahren erkannt werden» infolge eines Übersetzungsfehlers bei der Einführung des revidierten AT («Zuchthaus» ersetzt durch «Freiheitsstrafe von einem Jahr») um keine Min- destfreiheitsstrafe handelt (vgl. NIGGLI, Basler Kommentar, 4. Aufl. 2019, Art. 158 StGB N. 177 ff.; Urteil des Wirtschaftsgerichts des Kantons Bern WSG-Nr. 3/2009 vom 12. Februar 2010 E. 2.1), kann an dieser Stelle dahin- gestellt bleiben. Bei der Annahme, es handle sich dabei um eine Mindestfrei- heitsstrafe läge das dem Beschuldigten mit der höheren Strafdrohung vor- geworfene Delikt im Kanton Aargau. Der Ansicht von NIGGLI folgend würden die beiden Tatbestände die gleiche Strafdrohung aufweisen und die Aar- gauer Behörden wären auch in diesem Fall für die Verfolgung und Beurtei- lung der dem Beschuldigten vorgeworfenen Taten zuständig. Namentlich wäre der Gerichtsstand bei gleicher Strafdrohung anhand des Ortes zu be- stimmen, wo die Verfolgungshandlungen zuerst vorgenommen worden sind (vgl. supra E. 2.1). Indes sind die ersten Verfolgungshandlungen lediglich im Kanton Zürich erfolgt, dessen Unzuständigkeit vorliegend ausser Frage steht. Da auch ein Schwergewicht der deliktischen Tätigkeit in einem der Kantone nicht vorliegt, ist in Analogie zu Art. 34 Abs. 1 Satz 2 StPO darauf abzustellen, wo der Beschuldigte zeitlich das erste gerichtsstandsrelevante Delikt begangen hat (Entscheid des Bundesstrafgerichts BG.2009.32 vom 23. November 2009 E. 2.1; BAUMGARTNER, a.a.O., S. 228 f. m.w.H.). Dieses liegt im Kanton Aargau, was von ihm nicht in Abrede gestellt wird. Vielmehr wendet der Kanton Aargau gegen seine Zuständigkeit ein, der Kanton Schwyz habe seine Zuständigkeit durch das Nichtversenden des Ableh- nungsschreibens anerkannt (act. 3). Dem kann aus nachfolgenden Gründen nicht gefolgt werden.</w:t>
      </w:r>
    </w:p>
    <w:p>
      <w:r>
        <w:rPr>
          <w:b/>
        </w:rPr>
        <w:t>E. 3.2.2</w:t>
      </w:r>
    </w:p>
    <w:p>
      <w:r>
        <w:t>Eine Gerichtsstandsvereinbarung zwischen zwei oder mehreren Kantonen kann ausdrücklich oder konkludent geschlossen werden (SCHWERI/BÄNZI- GER, Interkantonale Gerichtsstandsbestimmung in Strafsachen, 2. Aufl., Bern 2004, S. 147 ff.). Eine konkludente Anerkennung des Gerichtsstandes darf nicht leichthin angenommen werden (statt vieler vgl. Beschlüsse des Bundesstrafgerichts BG.2020.37 vom 30. September 2020 E. 3.3; BG.2013.31 vom 28. Januar 2014 E. 2.2; BG.2009.29 vom 30. März 2010 E. 3.1) und setzt eine örtliche Anknüpfung im Kanton voraus (TPF 2011 178 E. 3.1). Diese von der Rechtsprechung entwickelte Möglichkeit um vom ge- setzlichen Gerichtsstand ausnahmsweise abzuweichen, bezieht sich in ers- ter Linie auf die Behörde, welche sich als unzuständig erachtet, jedoch mit der Gerichtsstandsanfrage zu lange zuwartet oder diese gänzlich unterlässt</w:t>
      </w:r>
    </w:p>
    <w:p>
      <w:r>
        <w:t>- 7 -</w:t>
      </w:r>
    </w:p>
    <w:p>
      <w:r>
        <w:t>resp. nach der Ablehnung der Gerichtsstandsanfrage untätig bleibt oder Pro- zesshandlungen vornimmt, die über die Gerichtsstandabklärungen hinaus- gehen (TPF 2011 178 E. 2.1 S. 180; vgl. u.a. Beschluss des Bundesstrafge- richts BG.2013.31 vom 28. Januar 2014 E. 2.2; Beschluss des Bundesstraf- gerichts BG.2006.28 vom 26. September 2006 E. 3.1; BG.2005.29 vom 13. Dezember 2005 E. 2.2). Keinen Schutz verdient das Verhalten einer Strafbehörde, welche durch Stillschweigen die Durchführung eines Mei- nungsaustauschs zwecks Klärung einer Gerichtsstandsanfrage und damit in der Sache eine möglichst rasche Einigung verhindert. Ein sechs Monate lan- ges Stillschweigen des ersuchten Kantons trotz mehrmaligen Nachfragens des ersuchenden Kantons kann unter Umständen als konkludente Anerken- nung des Gerichtsstandes gewertet werden (TPF 2018 65 E. 2.2; a.M. BAUM- GARTNER, a.a.O., S. 389).</w:t>
      </w:r>
    </w:p>
    <w:p>
      <w:r>
        <w:rPr>
          <w:b/>
        </w:rPr>
        <w:t>E. 3.2.3</w:t>
      </w:r>
    </w:p>
    <w:p>
      <w:r>
        <w:t>Vorliegend war der Kanton Schwyz der ersuchte Kanton und blieb nicht un- tätig. Vielmehr ging die StA SZ irrtümlicherweise davon aus, dass das ableh- nende Schreiben vom 13. Oktober 2020 an die Zürcher Behörden versendet wurde. Hinzu kommt, dass gestützt auf den Grundsatz des Treu und Glau- bens (Art. 3 Abs. 2 lit. a StPO) und mit Blick auf das Beschleunigungsgebot (Art. 5 StPO) es opportun gewesen wäre, dass sich der Gesuchsteller nach einer gewissen Zeit bei der StA SZ nach dem Stand seines Übernahmeer- suchens schriftlich oder zumindest telefonisch erkundigt hätte (vgl. TPF 2018 65 Sachverhalt und E. 2.2). Dadurch hätte der versehentlich unterlassene Versand des Ablehnungsschreibens vom 13. Oktober 2020 und der Unter- suchungsakten zu einem früheren Zeitpunkt erkannt werden können. Dass der Gesuchsteller dies getan hätte, geht weder aus seinen Ausführungen noch den vorliegenden Akten hervor. Aktenkundig ist lediglich, dass die OStA ZH rund fünf Monate nach ihrem Ersuchen die Abtretungsverfügung vom 24. Februar 2021 erliess. Unter den gegebenen Umständen vermochte der Kanton Zürich die Zuständigkeit des Kantons Schwyz mittels der Abtre- tungsverfügung nicht zu begründen.</w:t>
      </w:r>
    </w:p>
    <w:p>
      <w:r>
        <w:rPr>
          <w:b/>
        </w:rPr>
        <w:t>E. 3.2.4</w:t>
      </w:r>
    </w:p>
    <w:p>
      <w:r>
        <w:t>Aus dem Gesagten folgt, dass der Kanton Schwyz seine Zuständigkeit nicht konkludent anerkannt hat. Die Zuständigkeit liegt gestützt auf Art. 34 Abs. 1 Satz 2 StPO per analogiam im Kanton Aargau.</w:t>
      </w:r>
    </w:p>
    <w:p>
      <w:r>
        <w:rPr>
          <w:b/>
        </w:rPr>
        <w:t>E. 4</w:t>
      </w:r>
    </w:p>
    <w:p>
      <w:r>
        <w:t>Nach dem Gesagten ist das Gesuch gutzuheissen. Die Strafbehörden des Kantons Aargau sind berechtigt und verpflichtet, die A. zur Last gelegten Straftaten zu verfolgen und zu beurteilen.</w:t>
      </w:r>
    </w:p>
    <w:p>
      <w:r>
        <w:rPr>
          <w:b/>
        </w:rPr>
        <w:t>E. 5</w:t>
      </w:r>
    </w:p>
    <w:p>
      <w:r>
        <w:t>Es sind keine Gerichtskosten zu erheben (vgl. Art. 423 Abs. 1 StPO).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