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BG.2021.26 vom 25. Mai 2021</w:t>
      </w:r>
    </w:p>
    <w:p>
      <w:r>
        <w:t>Bundesstrafgericht, 2021-05-25, DE</w:t>
      </w:r>
    </w:p>
    <w:p>
      <w:r>
        <w:rPr>
          <w:b/>
        </w:rPr>
        <w:t xml:space="preserve">Quelle: </w:t>
      </w:r>
      <w:r>
        <w:t>https://mcp.opencaselaw.ch/entscheid/bstger_BG.2021.26</w:t>
      </w:r>
    </w:p>
    <w:p>
      <w:r>
        <w:t>FR: TPF BG.2021.26 du 25 mai 2021</w:t>
      </w:r>
    </w:p>
    <w:p>
      <w:r>
        <w:t>IT: TPF BG.2021.26 del 25 maggio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w:t>
      </w:r>
    </w:p>
    <w:p>
      <w:r>
        <w:t>Die OStA ZH ist berechtigt, den Gesuchsteller bei interkantonalen Gerichts- standskonflikten vor der Beschwerdekammer zu vertreten (§ 107 Abs. 1 lit. b des Gesetzes über die Gerichts- und Behördenorganisation im Zivil- und Strafprozess des Kantons Zürich vom 10. Mai 2010 [GOG/ZH; LS 211.1]). Auf Seiten des Gesuchsgegners steht diese Befugnis der OStA AG zu (§ 20 des Einführungsgesetzes zur Schweizerischen Strafprozessordnung des Kantons Aargau vom 16. März 2010 [EG StPO/AG; SAR 251.200]).</w:t>
      </w:r>
    </w:p>
    <w:p>
      <w:r>
        <w:rPr>
          <w:b/>
        </w:rPr>
        <w:t>E. 1.3</w:t>
      </w:r>
    </w:p>
    <w:p>
      <w:r>
        <w:t>Die übrigen Eintretensvoraussetzungen geben zu keinen weiteren Bemer- kungen Anlass. Auf das Gesuch ist einzutreten.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Generelle Vermutungen, Gerüchte, vorstellbare Lebensvorgänge</w:t>
      </w:r>
    </w:p>
    <w:p>
      <w:r>
        <w:t>- 5 -</w:t>
      </w:r>
    </w:p>
    <w:p>
      <w:r>
        <w:t>oder mathematische Wahrscheinlichkeiten reichen zur Begründung eines Tatverdachts nicht aus. Ferner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(vgl. zuletzt u.a. Beschlüsse des Bundesstrafge- richts BG.2021.20 vom 6. April 2021 E. 3; BG.2021.7 vom 1. März 2021 E. 3; BG.2021.3 vom 16. Februar 2021 E. 4.1; je m.w.H.).</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3.2</w:t>
      </w:r>
    </w:p>
    <w:p>
      <w:r>
        <w:t>Unter den Parteien ist umstritten, ob für die Gerichtsstandsbestimmung bei dem A. zur Last gelegten Covid-19-Betrug davon auszugehen ist, dass E. als Mittäter mitgewirkt habe. Der Gesuchsteller bringt vor, aufgrund der Ak- tenlage liege zwischen A. und E. klar eine Mittäterschaft vor. Der Gesuch- steller hält dagegen, allein aufgrund der Tatsache, dass A. einen grossen Teilbetrag des betrügerisch erworbenen Kredits einer anderen Gesellschaft</w:t>
      </w:r>
    </w:p>
    <w:p>
      <w:r>
        <w:t>- 6 -</w:t>
      </w:r>
    </w:p>
    <w:p>
      <w:r>
        <w:t>überwiesen habe, könne nicht auf eine Mittäterschaft zwischen A. und E. geschlossen werden.</w:t>
      </w:r>
    </w:p>
    <w:p>
      <w:r>
        <w:rPr>
          <w:b/>
        </w:rPr>
        <w:t>E. 3.3</w:t>
      </w:r>
    </w:p>
    <w:p>
      <w:r>
        <w:t>Mittäter ist, wer sogenannte «Tatherrschaft» ausübt, d.h. wer bei der Ent- schliessung, Planung oder Ausführung eines Deliktes vorsätzlich und in massgebender Weise mit anderen Tätern zusammenwirkt, so dass er als Hauptbeteiligter dasteht. Der Tatbeitrag begründet Tatherrschaft, wenn er «nach den Umständen des konkreten Falles und dem Tatplan für die Aus- führung des Deliktes so wesentlich ist, dass sie mit ihm steht oder fällt» (BGE 133 IV 76 E. 2.7 S. 82 mit Hinweisen). Der Mittäter muss bei der Ent- schliessung, Planung oder Ausführung der Tat auch tatsächlich mitwirken. Daraus folgt aber nicht, dass Mittäter nur ist, wer an der eigentlichen Tataus- führung beteiligt ist oder sie zu beeinflussen vermag (BGE 130 IV 58 E. 9.2.1 mit Hinweis; vgl. zum Ganzen zuletzt u.a. Urteil des Bundesgerichts 6B_529/2020 vom 14. September 2020 E. 3.4.2 mit weiteren Hinweisen).</w:t>
      </w:r>
    </w:p>
    <w:p>
      <w:r>
        <w:rPr>
          <w:b/>
        </w:rPr>
        <w:t>E. 3.4</w:t>
      </w:r>
    </w:p>
    <w:p>
      <w:r>
        <w:t>Gemäss Verdachtsmeldung vom 21. Juli 2020 an die Meldestelle für Geld- wäscherei MROS (Akten StA See/Oberland, act. 2) erfolgte ab dem Konto der B. GmbH am 1. April 2020 eine Vergütung von Fr. 92'000.– zugunsten der D. GmbH (Akten StA See/Oberland, act. 3/8). E., gemäss Handelsregis- terauszug alleiniger Gesellschafter der D. GmbH, habe den Vermögensein- gang in der Höhe von Fr. 92'000.– dahingehend erklärt, dass es sich um Einnahmen für Leistungen handle, welche die D. GmbH als Unterakkordan- tin für die B. GmbH erbracht habe. Die B. GmbH habe praktisch keine Rech- nung pünktlich beglichen, dann aber alle ausstehenden Rechnungen auf ein- mal bezahlt. Der Verdachtsmeldung liegen vier Rechnungen der D. GmbH an die B. GmbH bei (Akten StA See/Oberland, act. 3/13): vom 17. Dezember 2019 über Fr. 32'000.– («Grundputz Q3 pauschal», «F.-strasse in Y.»), vom</w:t>
      </w:r>
    </w:p>
    <w:p>
      <w:r>
        <w:rPr>
          <w:b/>
        </w:rPr>
        <w:t>E. 3.5</w:t>
      </w:r>
    </w:p>
    <w:p>
      <w:r>
        <w:t>Aufgrund der Aktenlage erweist sich der Vorwurf, E. habe an dem A. zur Last gelegten Betrug Covid-19-Betrug als Mittäter mitgewirkt, nicht als haltlos. Namentlich der Umstand, dass die D. GmbH im Abnahmeprotokoll vom 5. Mai 2020 nicht erwähnt wird, weckt den Verdacht, dass die D. GmbH auf der betreffenden Baustelle gar nie als Unterakkordantin tätig gewesen sein könnte und dass den erwähnten Rechnungen und der Zahlung von Fr. 92'000.– unmittelbar nach Eingang des Covid-19-Kredits ein fingiertes Rechtsgeschäft zugrunde liegen könnte. Weitere Umstände, wie die Schwä- gerschaft zwischen A. und E. und die Tätigkeit von A. für die D. GmbH legen nahe, dass E. privat und beruflich nahestand und er die Gelegenheit gehabt haben konnte, bei der Entschliessung, Planung oder Ausführung des fragli- chen Betrugs vorsätzlich und in massgebender Weise mit A. zusammenzu- wirken.</w:t>
      </w:r>
    </w:p>
    <w:p>
      <w:r>
        <w:rPr>
          <w:b/>
        </w:rPr>
        <w:t>E. 3.6</w:t>
      </w:r>
    </w:p>
    <w:p>
      <w:r>
        <w:t>Unbestritten ist, dass die Strafverfolgungsbehörden des Kantons Aargau ge- gen E. bereits ein Verfahren wegen Betrug führen. A. wird keine Straftat zur Last gelegt, die mit einer schwereren Strafe bedroht wäre. Bei gleich schwe- ren Strafdrohungen bestimmt sich der Gerichtsstand für alle Beteiligten nach</w:t>
      </w:r>
    </w:p>
    <w:p>
      <w:r>
        <w:t>- 8 -</w:t>
      </w:r>
    </w:p>
    <w:p>
      <w:r>
        <w:t>dem Ort, wo die Verfolgungshandlungen zuerst vorgenommen worden sind. Das Verfahren gegen E. ist mit Eingang der MROS-Anzeige bei der StA AG am 31. Juli 2020 als angehoben zu betrachten (vgl. TPF 2009 169 E. 2.2). Somit liegt der gesetzliche Gerichtsstand für die A. zur Last gelegten Straf- taten im Kanton Aargau.</w:t>
      </w:r>
    </w:p>
    <w:p>
      <w:r>
        <w:t>4. Soweit sich der Gesuchsgegner auf den Standpunkt stellt, die Umstände, die für eine Mittäterschaft zwischen A. und E. sprechen, seien bereits bei der Gerichtsstandsübernahme durch den Kanton Zürich bekannt gewesen, wes- halb diese nicht als neue Erkenntnisse betrachtet werden könnten, welche zur Rückübernahme des Gerichtsstands in den Kanton Aargau führen wür- den, ist Folgendes festzuhalten: Anerkennt ein Kanton seinen Gerichtsstand, so ist er grundsätzlich dabei zu behaften, es sei denn, die Anerkennung be- ruhe auf einem offensichtlichen Versehen oder auf offensichtlich falschen rechtlichen Gesichtspunkten (Entscheid des Bundesstrafgerichts BG.2008.2 vom 25. Januar 2008 E. 3.2 m.w.H.; vgl. SCHWERI/BÄNZIGER, Interkantonale Gerichtsstandsbestimmung in Strafsachen, 2. Aufl. 2004, N. 455 f.). Es trifft zwar zu, dass bereits die Verdachtsmeldung vom 21. Juli 2020 an die Mel- destelle für Geldwäscherei MROS und die MROS-Anzeige einzelne Anhalts- punkte für eine Mittäterschaft zwischen A. und E. enthalten. Die StA AG scheint indes – trotz dieser Anhaltspunkte – keinerlei Erhebungen zum Ge- richtsstand durchgeführt zu haben, nachdem die MROS-Anzeige bei ihr ein- gegangen war (vgl. hierzu u.a. Beschluss des Bundesstrafgerichts BG.2019.2 vom 8. Mai 2019 E. 4.1 m.w.H.). Im Übernahmeersuchen der StA AG vom 18. August 2020 – aus dem ohne Studium der Akten Sachverhalt und Rechtsgrundlagen für die Zuständigkeit der angerufenen Staatsanwalt- schaft ersichtlich sein sollen (KUHN, Basler Kommentar, 2. Aufl. 2014, Art. 39 StPO N. 11) – fanden diese Anhaltspunkte aus der Verdachtsmeldung und der MROS-Anzeige keine Erwähnung. Vielmehr hielt die StA AG ausdrück- lich fest, dass die beiden angezeigten Fälle nicht im Sinne einer Mittäter- schaft oder Teilnahmehandlung in einem Zusammenhang stünden. Basie- rend auf dieser Annahme übernahm die StA See/Oberland – allenfalls etwas vorschnell – das Verfahren. Die Annahme erweist sich aufgrund der aktuel- len Aktenlage als unzutreffend. Vor diesem Hintergrund ist es vorliegend ge- rechtfertigt, auf den Anerkennungsentscheid zurückzukommen.</w:t>
      </w:r>
    </w:p>
    <w:p>
      <w:r>
        <w:t>5. Nach dem Gesagten ist das Gesuch gutzuheissen und es sind die Strafver- folgungsbehörden des Kantons Aargau für berechtigt und verpflichtet zu er- klären, die A. zur Last gelegten Straftaten zu verfolgen und zu beurteilen.</w:t>
      </w:r>
    </w:p>
    <w:p>
      <w:r>
        <w:t>- 9 -</w:t>
      </w:r>
    </w:p>
    <w:p>
      <w:r>
        <w:rPr>
          <w:b/>
        </w:rPr>
        <w:t>E. 6</w:t>
      </w:r>
    </w:p>
    <w:p>
      <w:r>
        <w:t>Soll die Publikation dieses Beschlusses aufgeschoben werden, so wäre dies vom Kanton Aargau beim Generalsekretariat des Bundesstrafgerichts zu be- antragen.</w:t>
      </w:r>
    </w:p>
    <w:p>
      <w:r>
        <w:rPr>
          <w:b/>
        </w:rPr>
        <w:t>E. 7</w:t>
      </w:r>
    </w:p>
    <w:p>
      <w:r>
        <w:t>Es sind keine Gerichtskosten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