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BG.2020.7 vom 2. April 2020</w:t>
      </w:r>
    </w:p>
    <w:p>
      <w:r>
        <w:t>Bundesstrafgericht, 2020-04-02, DE</w:t>
      </w:r>
    </w:p>
    <w:p>
      <w:r>
        <w:rPr>
          <w:b/>
        </w:rPr>
        <w:t xml:space="preserve">Quelle: </w:t>
      </w:r>
      <w:r>
        <w:t>https://mcp.opencaselaw.ch/entscheid/bstger_BG.2020.7</w:t>
      </w:r>
    </w:p>
    <w:p>
      <w:r>
        <w:t>FR: TPF BG.2020.7 du 2 avril 2020</w:t>
      </w:r>
    </w:p>
    <w:p>
      <w:r>
        <w:t>IT: TPF BG.2020.7 del 2 aprile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Die Behörden, welche berechtigt sind, ihren Kanton im Meinungsaustausch und im Verfahren vor der Beschwerdekam- mer zu vertreten, bestimmen sich nach dem jeweiligen kantonalen Recht (Art. 14 Abs. 4 StPO).</w:t>
      </w:r>
    </w:p>
    <w:p>
      <w:r>
        <w:rPr>
          <w:b/>
        </w:rPr>
        <w:t>E. 1.2</w:t>
      </w:r>
    </w:p>
    <w:p>
      <w:r>
        <w:t>Der Meinungsaustausch wurde durchgeführt. Die weiteren Eintretensvoraus- setzungen geben zu keinen weiteren Bemerkungen Anlass. Auf das Gesuch ist einzutreten.</w:t>
      </w:r>
    </w:p>
    <w:p>
      <w:r>
        <w:rPr>
          <w:b/>
        </w:rPr>
        <w:t>E. 2.1</w:t>
      </w:r>
    </w:p>
    <w:p>
      <w:r>
        <w:t>Für die Verfolgung und Beurteilung einer Straftat sind die Behörden des Or- tes zuständig, an dem die Tat verübt worden ist (Art. 31 Abs. 1 StPO). Der Ausführungsort befindet sich dort, wo der Täter gehandelt hat (BGE 86 IV 222 E. 1). Ist eine Straftat von mehreren Mittätern verübt worden, so sind die Behörden des Ortes zuständig, an dem zuerst Verfolgungshandlungen vor- genommen worden sind (Art. 33 Abs. 2 StPO). Hat eine beschuldigte Person</w:t>
      </w:r>
    </w:p>
    <w:p>
      <w:r>
        <w:t>- 12 -</w:t>
      </w:r>
    </w:p>
    <w:p>
      <w:r>
        <w:t>mehrere Straftaten an verschiedenen Orten verübt, so sind für die Verfol- 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 Die schwerste Tat im gerichtsstandsrechtlichen Sinn ist diejenige mit der höchs- ten abstrakten gesetzlichen Strafdrohung, wobei Qualifizierungs- und Privi- legierungselemente des besonderen Teils des StGB, welche den Strafrah- men verändern, zu berücksichtigen sind. Bei gleichen Höchststrafen ist das- jenige Delikt mit der höchsten gesetzlichen Mindeststrafe entscheidend (Be- schlüsse des Bundesstrafgerichts BG.2013.15 vom 27. Juni 2013 E. 3.1; BG.2010.14 vom 20. September 2010 E. 2.1; BK_G 031/04 vom 12. Mai 2004 E. 1.2 in fine).</w:t>
      </w:r>
    </w:p>
    <w:p>
      <w:r>
        <w:rPr>
          <w:b/>
        </w:rPr>
        <w:t>E. 2.2.1</w:t>
      </w:r>
    </w:p>
    <w:p>
      <w:r>
        <w:t>Es ist dem Gesuchsteller und dem Gesuchsgegner 2 beizupflichten, dass der Vorwurf der falschen Anschuldigung gemäss Art. 303 Ziff. 1 StGB auf- grund der Strafandrohung von 20 Jahren Freiheitsstrafe die abstrakt schwerste Straftat betrifft, im Vergleich zur Höchststrafe von zehn Jahren Freiheitsstrafe für den E. betreffenden Vergewaltigungsvorwurf. Der Ge- suchsgegner 1 weist zwar zu Recht auf den bundesrätlichen Entwurf des Bundesgesetzes über die Harmonisierung der Strafrahmen hin, welcher die Kritik an den ausserordentlich weiten Strafrahmen für den Tatbestand der falschen Anschuldigung übernimmt und hiefür eine Höchststrafe von fünf Jahren sowie eine Verdoppelung der Mindeststrafe bei der Vergewaltigung vorsieht (Botschaft zur Harmonisierung der Strafrahmen und zur Anpassung des Nebenstrafrechts an das geänderte Sanktionenrecht vom 25. April 2018; BBl 2018 2827). Nichtsdestotrotz lässt sich im Gerichtsstandsverfahren nicht rechtfertigen, de lege ferenda in die konstante Rechtsprechung zu Strafrah- men bzw. –zumessung einzugreifen (s. im Zusammenhang mit der falschen Anschuldigung Urteil des Bundesgerichts 6S.199/2004 vom 27. April 2005 E. 3.2).</w:t>
      </w:r>
    </w:p>
    <w:p>
      <w:r>
        <w:t>- 13 -</w:t>
      </w:r>
    </w:p>
    <w:p>
      <w:r>
        <w:rPr>
          <w:b/>
        </w:rPr>
        <w:t>E. 2.2.2</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sei sicher ausgeschlossen. Es gilt der Grundsatz in dubio pro duriore, wo- nach im Zweifelsfall auf den für den Beschuldigten ungünstigeren Sachver- halt abzustellen bzw. das schwerere Delikt anzunehmen ist (vgl. Beschluss des Bundesstrafgerichts BG.2014.10 vom 10. Juni 2014 E. 2.1).</w:t>
      </w:r>
    </w:p>
    <w:p>
      <w:r>
        <w:rPr>
          <w:b/>
        </w:rPr>
        <w:t>E. 2.2.3</w:t>
      </w:r>
    </w:p>
    <w:p>
      <w:r>
        <w:t>Nach Ansicht des Gesuchsgegners 1 ist der Vorwurf der falschen Anschul- digung haltlos. Die Angaben, man habe ein Mobiltelefon jemandem gege- ben, erfülle bei Weitem nicht den Tatbestand der falschen Anschuldigung. Die Bezichtigung müsse sich darauf beziehen, es sei ein Verbrechen oder Vergehen begangen worden. Die Bezichtigung müsse unmissverständlich den Vorwurf enthalten, der Beschuldigte werde eines Delikts für schuldig er- achtet. Dies sei vorliegend keineswegs gegeben (act. 4 S. 2 f.; Gerichts- standsakten).</w:t>
      </w:r>
    </w:p>
    <w:p>
      <w:r>
        <w:rPr>
          <w:b/>
        </w:rPr>
        <w:t>E. 2.2.4</w:t>
      </w:r>
    </w:p>
    <w:p>
      <w:r>
        <w:t>Dem kann nicht gefolgt werden. B. wusste im Zeitpunkt seiner ersten Einver- nahme, dass der Polizei bekannt war, dass mit dem fraglichen Mobiltelefon der Betrug ausgeführt worden war. Wenn er ihr daher angibt, das Mobiltele- fon C. übergeben zu haben, und anfügt, „Leute der Strafanstalt in Y. (SG)“ seien eh alle kriminell, weshalb er es [den Betrug] noch Einigen zutrauen könne, lenkt er den Tatverdacht und damit die Strafverfolgung offensichtlich auf C. im Wissen um dessen Unschuld. In seiner E-Mail vom Folgetag gibt B. denn auch zu, C. „falsch“ beschuldigt zu haben. Auch wenn B. selber sein Handeln nachträglich als „Versehen“ bezeichnet, ist in Anwendung des Grundsatzes in dubio pro duriore auf den für den Beschuldigten ungünstige- ren Sachverhalt abzustellen. Gestützt auf das bisherige Ermittlungsergebnis lässt sich der Tatbestand der falschen Anschuldigung nach dem Gesagten nicht sicher ausschliessen, weshalb er für die Bestimmung des Gerichts- stands vorliegend massgeblich bleibt.</w:t>
      </w:r>
    </w:p>
    <w:p>
      <w:r>
        <w:rPr>
          <w:b/>
        </w:rPr>
        <w:t>E. 2.2.5</w:t>
      </w:r>
    </w:p>
    <w:p>
      <w:r>
        <w:t>Die falsche Anschuldigung erfolgte im Kanton Appenzell Ausserrhoden, wes- halb dessen Strafverfolgungsbehörden grundsätzlich berechtigt und ver- pflichtet sind, die B. und E. zur Last gelegten Straftaten zu verfolgen und zu beurteilen.</w:t>
      </w:r>
    </w:p>
    <w:p>
      <w:r>
        <w:rPr>
          <w:b/>
        </w:rPr>
        <w:t>E. 3.1</w:t>
      </w:r>
    </w:p>
    <w:p>
      <w:r>
        <w:t>Der Gesuchsgegner 1 bringt auch in seiner Stellungnahme vom 10. März 2020 vor, der Schwerpunkt der deliktischen Tätigkeit sowie die persönlichen Verhältnisse der Beschuldigten würden offensichtlich im Kanton St. Gallen liegen, weshalb ein triftiger Grund für das Abweichen vom gesetzlichen</w:t>
      </w:r>
    </w:p>
    <w:p>
      <w:r>
        <w:t>- 14 -</w:t>
      </w:r>
    </w:p>
    <w:p>
      <w:r>
        <w:t>Gerichtsstand bestehen würde. Auch seien (mutmasslich) die Opfer im Kan- ton St. Gallen wohnhaft (act. 4 S. 3 ff.).</w:t>
      </w:r>
    </w:p>
    <w:p>
      <w:r>
        <w:rPr>
          <w:b/>
        </w:rPr>
        <w:t>E. 3.2</w:t>
      </w:r>
    </w:p>
    <w:p>
      <w:r>
        <w:t>Die Beschwerdekammer kann (wie die beteiligten Staatsanwaltschaften un- tereinander auch) einen andern als den in den Art. 31 – 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(TPF 2012 66 E. 3.1 S. 67 f.; TPF 2011 178 E. 3.1 S. 180 f.; jeweils m.w.H.).</w:t>
      </w:r>
    </w:p>
    <w:p>
      <w:r>
        <w:rPr>
          <w:b/>
        </w:rPr>
        <w:t>E. 3.3</w:t>
      </w:r>
    </w:p>
    <w:p>
      <w:r>
        <w:t>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Kanton ent- fallen (BGE 129 IV 202 E. 2 S. 203; siehe zuletzt auch den Beschluss des Bundesstrafgerichts BG.2011.25 vom 28. September 2011 E. 3.2). Das Übergewicht muss dabei so offensichtlich und bedeutsam sein, dass sich das Abweichen vom gesetzlichen Gerichtsstand geradezu aufdrängt (MO- SER/SCHLAPBACH, Basler Kommentar, 2. Aufl. 2014, Art. 38 StPO N. 7 f.; GUIDON/BÄNZIGER, Die aktuelle Rechtsprechung des Bundesstrafgerichts zum interkantonalen Gerichtsstand in Strafsachen, Jusletter 21. Mai 2007, [Rz 46] m.w.H.). Fehlt es bereits an einer grösseren Zahl der in Frage ste- henden Fälle, so drängt sich ein Abweichen vom gesetzlichen Gerichtsstand – sofern nicht weitere triftige prozessökonomische Gesichtspunkte ernsthaft in Betracht gezogen werden müssen – hingegen nicht auf (siehe hierzu den Beschluss des Bundesstrafgerichts BG.2011.25 vom 28. September 2011 E. 3.2; vgl. auch die Entscheide des Bundesstrafgerichts BG.2009.30 vom 26. Oktober 2009 E. 2.3; BG.2009.23 vom 13. Oktober 2009 E. 2.4; BK_G 038/04 vom 13. Juli 2004 E. 5). Namentlich hervorzuheben ist der Entscheid des Bundesstrafgerichts BG.2009.30 vom 26. Oktober 2009 E. 2.3, wonach sich bei bloss 21 zu beurteilenden Einbruchdiebstählen kein Abweichen vom gesetzlichen Gerichtsstand aufdrängt.</w:t>
      </w:r>
    </w:p>
    <w:p>
      <w:r>
        <w:t>- 15 -</w:t>
      </w:r>
    </w:p>
    <w:p>
      <w:r>
        <w:rPr>
          <w:b/>
        </w:rPr>
        <w:t>E. 3.4</w:t>
      </w:r>
    </w:p>
    <w:p>
      <w:r>
        <w:t>Nach dem Gesagten fehlt es im vorliegenden Fall für Schwerpunktüberle- gungen mit 13 zu untersuchenden Delikten bereits an einer grösseren Zahl von Gegenstand der Untersuchung bildenden Straftaten. In diesem Sinne liegen keine triftigen Gründe vor, welche ein Abweichen vom gesetzlichen Gerichtsstand gebieterisch aufdrängen würden. Der Umstand allein, dass beide Beschuldigten im Kanton St. Gallen wohnhaft sind, vermag gestützt auf Art. 38 StPO ebenso wenig ein Abweichen vom gesetzlichen Gerichts- stand zu rechtfertigen. Eines der mutmasslichen Opfer (A.) wohnt im Kanton Bern, weshalb das Argument bereits im Ansatz nicht greift.</w:t>
      </w:r>
    </w:p>
    <w:p>
      <w:r>
        <w:rPr>
          <w:b/>
        </w:rPr>
        <w:t>E. 3.5</w:t>
      </w:r>
    </w:p>
    <w:p>
      <w:r>
        <w:t>Der Gesuchsgegner 1 erklärte in seiner Gesuchsantwort, er habe dem Ge- suchsgegner 2 vorgeschlagen, ohne Anerkennung der Zuständigkeit oder anderweitiger Rechtspflicht den Vorwurf der falschen Anschuldigung sowie des Betrugs abzuklären, wobei die weiteren Verfahren, welche sich auf St. Galler Boden zugetragen hätten, beim Gesuchsgegner 2 verbleiben wür- den (act. 4 S. 5). Darüber hinaus stellten weder er noch die übrigen Verfah- rensbeteiligten einen konkreten Antrag auf Trennung des Strafverfahrens gegen E. wegen Vergewaltigung unter Beibehaltung der Zuständigkeit der Behörden des Gesuchsgegners 2 zur Verfolgung und Beurteilung dieser Straftat. Unter diesen Umständen kann die Beschwerdekammer auch nicht darüber befinden.</w:t>
      </w:r>
    </w:p>
    <w:p>
      <w:r>
        <w:rPr>
          <w:b/>
        </w:rPr>
        <w:t>E. 4</w:t>
      </w:r>
    </w:p>
    <w:p>
      <w:r>
        <w:t>Nach dem Gesagten ist das Gesuch im Hauptpunkt gutzuheissen und es sind die Strafbehörden des Gesuchsgegners 1 (KT AR) für berechtigt und verpflichtet zu erklären, die B. und E. zur Last gelegten Delikte zu verfolgen und zu beurteilen.</w:t>
      </w:r>
    </w:p>
    <w:p>
      <w:r>
        <w:rPr>
          <w:b/>
        </w:rPr>
        <w:t>E. 5</w:t>
      </w:r>
    </w:p>
    <w:p>
      <w:r>
        <w:t>Es sind keine Gerichtskosten zu erheben (Art. 423 Abs. 1 StPO).</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