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BG.2020.53 vom 1. Dezember 2020</w:t>
      </w:r>
    </w:p>
    <w:p>
      <w:r>
        <w:t>Bundesstrafgericht, 2020-12-01, FR</w:t>
      </w:r>
    </w:p>
    <w:p>
      <w:r>
        <w:rPr>
          <w:b/>
        </w:rPr>
        <w:t xml:space="preserve">Quelle: </w:t>
      </w:r>
      <w:r>
        <w:t>https://mcp.opencaselaw.ch/entscheid/bstger_BG.2020.53</w:t>
      </w:r>
    </w:p>
    <w:p>
      <w:r>
        <w:t>FR: TPF BG.2020.53 du 1 décembre 2020</w:t>
      </w:r>
    </w:p>
    <w:p>
      <w:r>
        <w:t>IT: TPF BG.2020.53 del 1 dicembre 2020</w:t>
      </w:r>
    </w:p>
    <w:p>
      <w:pPr>
        <w:pStyle w:val="Heading2"/>
      </w:pPr>
      <w:r>
        <w:t>Regeste</w:t>
      </w:r>
    </w:p>
    <w:p>
      <w:r>
        <w:t>Compétence ratione materiae (art. 28 CPP). Déni de justice (art. 393 al. 2 let. a CPP). Assistance judiciaire dans la procédure de recours (art. 28 CPP; art. 29 al. 3 Cst.).</w:t>
      </w:r>
    </w:p>
    <w:p>
      <w:pPr>
        <w:pStyle w:val="Heading2"/>
      </w:pPr>
      <w:r>
        <w:t>Erwägungen</w:t>
      </w:r>
    </w:p>
    <w:p>
      <w:r>
        <w:rPr>
          <w:b/>
        </w:rPr>
        <w:t>E. 14</w:t>
      </w:r>
    </w:p>
    <w:p>
      <w:r>
        <w:t>novembre 2020 [daté du 11 novembre 2020] et son complément du</w:t>
      </w:r>
    </w:p>
    <w:p>
      <w:r>
        <w:rPr>
          <w:b/>
        </w:rPr>
        <w:t>E. 19</w:t>
      </w:r>
    </w:p>
    <w:p>
      <w:r>
        <w:t>novembre 2020 [daté du 18 novembre 2020])</w:t>
      </w:r>
    </w:p>
    <w:p>
      <w:r>
        <w:t>Indication des voies de recours Il n’existe pas de voie de recours ordinaire contre cette décision.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