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BG.2020.51 vom 26. November 2020</w:t>
      </w:r>
    </w:p>
    <w:p>
      <w:r>
        <w:t>Bundesstrafgericht, 2020-11-26, DE</w:t>
      </w:r>
    </w:p>
    <w:p>
      <w:r>
        <w:rPr>
          <w:b/>
        </w:rPr>
        <w:t xml:space="preserve">Quelle: </w:t>
      </w:r>
      <w:r>
        <w:t>https://mcp.opencaselaw.ch/entscheid/bstger_BG.2020.51</w:t>
      </w:r>
    </w:p>
    <w:p>
      <w:r>
        <w:t>FR: TPF BG.2020.51 du 26 novembre 2020</w:t>
      </w:r>
    </w:p>
    <w:p>
      <w:r>
        <w:t>IT: TPF BG.2020.51 del 26 novembre 2020</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1StBOG). Hinsichtlich der Frist, innerhalb welcher die er- suchende Behörde ihr Gesuch einzureichen hat, ist im Normalfall die Frist von zehn Tagen gemäss Art. 396 Abs. 1 StPO analog anzuwenden (TPF 2011 94 E. 2.2). Die Behörden, welche berechtigt sind, ihren Kanton im Meinungsaustausch und im Verfahren vor der Beschwerdekammer zu vertreten, bestimmen sich nach dem jeweiligen kantonalen Recht (Art. 14 Abs. 4 StPO).</w:t>
      </w:r>
    </w:p>
    <w:p>
      <w:r>
        <w:t>- 5 -</w:t>
      </w:r>
    </w:p>
    <w:p>
      <w:r>
        <w:rPr>
          <w:b/>
        </w:rPr>
        <w:t>E. 1.2.1</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 Tat- sachen erforschen und alle dazu notwendigen Erhebungen durchführen. So- lange die Frage der Zuständigkeit offen oder streitig ist, bleibt jeder Kanton verpflichtet, die sein Gebiet betreffenden Tatsachen so weit abzuklären, als es der Entscheid über den Gerichtsstand erfordert (vgl. u.a. Beschluss des Bundesstrafgerichts BG.2019.2 vom 8. Mai 2019 E. 4.1 m.w.H.).</w:t>
      </w:r>
    </w:p>
    <w:p>
      <w:r>
        <w:rPr>
          <w:b/>
        </w:rPr>
        <w:t>E. 1.2.2</w:t>
      </w:r>
    </w:p>
    <w:p>
      <w:r>
        <w:t>Der Gesuchsgegner stellt sich in der Gesuchsantwort auf den Standpunkt, es sei nicht geklärt, ob der Beschuldigte den Aneignungsentschluss in der Schweiz oder in Ungarn gefasst habe. Die Bezahlung der Leasingrate sei nicht geeignet den Ort der Beschlussfassung zu belegen. Insbesondere in Fällen professioneller Autoschieberei werde der Vorsatz der Veruntreuung wohl kaum erst im Ausland gefasst, sondern bereits weit im Vorfeld. Die Zah- lung der Rate vom 5. Februar 2020 könne daher ebenso zwecks Verhinde- rung umgehender Entdeckung des geplanten Vorgehens erfolgt sein. Er führt aus, dass dies mittels einfacher Befragung des Beschuldigten hätte ge- klärt werden können. Die Berner Behörden hätten den Tatort nicht hinrei- chend abgeklärt (act. 3).</w:t>
      </w:r>
    </w:p>
    <w:p>
      <w:r>
        <w:t>Gleichzeitig verweigerten die Behörden des Gesuchsgegners die von den Berner Behörden beantragte Einvernahme des im Kanton Aargau wohnhaf- ten Beschuldigten zum Tatort mit der Begründung, die erstmalige Befragung des Beschuldigten sei Sache der erstbefassten Behörde (s. supra lit. D ff.).</w:t>
      </w:r>
    </w:p>
    <w:p>
      <w:r>
        <w:rPr>
          <w:b/>
        </w:rPr>
        <w:t>E. 1.2.3</w:t>
      </w:r>
    </w:p>
    <w:p>
      <w:r>
        <w:t>Demgegenüber ist der Gesuchsteller der Ansicht, es sei deutlich, dass der Beschuldigte die Aneignungsabsicht in Ungarn gefasst und auch manifestiert habe. Er kommt zum Schluss, dass der Tatort unabhängig von der Befra- gung des Beschuldigten bestimmt sei (act. 1 S. 4).</w:t>
      </w:r>
    </w:p>
    <w:p>
      <w:r>
        <w:rPr>
          <w:b/>
        </w:rPr>
        <w:t>E. 1.2.4</w:t>
      </w:r>
    </w:p>
    <w:p>
      <w:r>
        <w:t>Vorab ist festzuhalten, dass die Staatsanwaltschaft der Kantone zwar be- rechtigt sind, alle Verfahrenshandlungen im Sinne der StPO direkt in einem anderen Kanton anzuordnen und durchzuführen (Art. 52 Abs. 1 StPO). Ver- langt die Staatsanwaltschaft eines Kantons von den Strafbehörden eines an- deren Kantons allerdings die Durchführung von Verfahrenshandlungen, ist die ersuchte Strafbehörde zur Vornahme der Verfahrenshandlung stellver- tretend für die ersuchende Behörde verpflichtet (Art. 49 Abs. 1 StPO). Die Schweizerische Staatsanwälte-Konferenz (SSK) hat Empfehlungen zur</w:t>
      </w:r>
    </w:p>
    <w:p>
      <w:r>
        <w:t>- 6 -</w:t>
      </w:r>
    </w:p>
    <w:p>
      <w:r>
        <w:t>Rechtshilfe gemäss Schweizerischer Strafprozessordnung (Rechtshilfeemp- fehlungen) herausgegeben, welche die gesetzliche Verpflichtung zur Aus- führung eines Rechtshilfeersuchens indes nicht relativieren (vgl. SCHMITT, Basler Kommentar, 2. Aufl. 2014, Art. 49 StPO N. 3). Über Konflikte über die Rechtshilfe zwischen Behörden verschiedener Kantone entscheidet das Bundesstrafgericht (Art. 48 Abs. 2 StPO). Vorliegend wurde das Gericht in diesem Zusammenhang nicht angerufen und es ist an dieser Stelle nicht dar- über zu entscheiden, ob sich die ersuchte Behörde ihrer Rechtshilfeverpflich- tung zu Recht entzogen hat oder nicht.</w:t>
      </w:r>
    </w:p>
    <w:p>
      <w:r>
        <w:rPr>
          <w:b/>
        </w:rPr>
        <w:t>E. 1.2.5</w:t>
      </w:r>
    </w:p>
    <w:p>
      <w:r>
        <w:t>Zu betonen ist aber, dass entgegen der Argumentation des Gesuchsgegners gemäss Ziff. 8 der Empfehlungen der SSK zur Bestimmung der örtlichen Zu- ständigkeit (Gerichtsstandsempfehlungen) der (um Verfahrensübernahme) ersuchte Kanton die in seinem Kanton möglichen Abklärungen zu den ge- richtsstandsrelevanten Tatsachen selbst durchführt. Da der Gesuchsgegner die Einvernahme des Beschuldigten zum Tatort als gerichtsstandsrelevant beurteilte, wären seine Behörden für die Durchführung dieser Abklärungen zuständig gewesen. Die Haltung des Gesuchsgegners erscheint daher als widersprüchlich und dessen Nichteintretensantrag kann aufgrunddessen nicht gefolgt werden.</w:t>
      </w:r>
    </w:p>
    <w:p>
      <w:r>
        <w:rPr>
          <w:b/>
        </w:rPr>
        <w:t>E. 1.2.6</w:t>
      </w:r>
    </w:p>
    <w:p>
      <w:r>
        <w:t>Auch wenn sich die Parteien im Vorfeld zu Recht einig waren, dass der Be- schuldigte vollständigkeitshalber zum Tatort einzuvernehmen wäre, erlaubt das dem Beschuldigten vorgeworfene Verhalten unter den gegebenen Um- ständen erste Schlussfolgerungen auf dessen mutmassliche Aneignungsab- sicht, namentlich mit Bezug auf Zeitpunkt und Ort. Wie aus den nachfolgen- den Erwägungen hervorgehen wird, liegen alle für die Festlegung des Ge- richtsstandes wesentlichen Tatsachen vor. Die weiteren Eintretensvoraus- setzungen sind vorliegend ebenfalls erfüllt und geben zu keinen Bemerkun- gen Anlass, weshalb auf das Gesuch einzutreten ist.</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rPr>
          <w:b/>
        </w:rPr>
        <w:t>E. 2.2</w:t>
      </w:r>
    </w:p>
    <w:p>
      <w:r>
        <w:t>Ist eine Straftat im Ausland verübt worden oder kann der Tatort nicht ermittelt werden, so sind für die Verfolgung und Beurteilung die Behörden des Ortes</w:t>
      </w:r>
    </w:p>
    <w:p>
      <w:r>
        <w:t>- 7 -</w:t>
      </w:r>
    </w:p>
    <w:p>
      <w:r>
        <w:t>zuständig, an dem die beschuldigte Person ihren Wohnsitz oder ihren ge- wöhnlichen Aufenthalt hat (Art. 32 Abs. 1 StPO).</w:t>
      </w:r>
    </w:p>
    <w:p>
      <w:r>
        <w:rPr>
          <w:b/>
        </w:rPr>
        <w:t>E. 3</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(Beschluss des Bundesstrafgerichts BG.2016.29 vom 5. Dezem- ber 2016 E. 2.2 m.w.H). Es gilt der aus dem Legalitätsprinzip fliessende Grundsatz in dubio pro duriore (BGE 138 IV 186 E. 4.1). Daraus leitet sich für die Bestimmung des Gerichtsstandes ab, dass im Zweifelsfall auf den für den Beschuldigten ungünstigeren Sachverhalt abzustellen bzw. das schwe- rere Delikt anzunehmen ist (statt vieler Beschluss des Bundesstrafgerichts BG.2017.19 vom 11. September 2017 E. 2.2).</w:t>
      </w:r>
    </w:p>
    <w:p>
      <w:r>
        <w:rPr>
          <w:b/>
        </w:rPr>
        <w:t>E. 4.1</w:t>
      </w:r>
    </w:p>
    <w:p>
      <w:r>
        <w:t>Gemäss den Angaben in der Strafanzeige soll der Beschuldigte am 5. Feb- ruar 2020 die Leasingrate bezahlt haben und mit dem geleasten Fahrzeug nach Ungarn gefahren sein. In der Folge und bis dato habe er die Leasing- raten nicht mehr bezahlt und sei schliesslich mit dem Flugzeug in die Schweiz zurück unter Belassung des Fahrzeugs in Ungarn, welches er bis dato nicht zurückgeholt habe (Verfahrensakten KT BE).</w:t>
      </w:r>
    </w:p>
    <w:p>
      <w:r>
        <w:rPr>
          <w:b/>
        </w:rPr>
        <w:t>E. 4.2</w:t>
      </w:r>
    </w:p>
    <w:p>
      <w:r>
        <w:t>Der Veruntreuung macht sich strafbar, wer sich eine ihm anvertraute fremde bewegliche Sache aneignet, um sich oder einen andern damit unrechtmäs- sig zu bereichern (Art. 138 Ziff. 1 Abs. 1 StGB). Als anvertraut gilt, was je- mand mit der Verpflichtung empfängt, es in bestimmter Weise im Interesse des Treugebers zu verwenden, insbesondere es zu verwahren, zu verwalten oder einem anderen abzuliefern (BGE 133 IV 21 E. 6.2 S. 27 m.H.). Gemäss einer anderen Umschreibung ist anvertraut, was jemand mit der besonderen Verpflichtung empfängt, es dem Treugeber zurückzugeben oder es für die- sen einem Dritten weiterzuleiten, wobei der Treugeber seine Verfügungs- macht über das Anvertraute aufgibt. Die Werterhaltungspflicht kann auf aus- drücklicher oder stillschweigender Abmachung beruhen (BGE 143 IV 297 E. 1.3 S. 300 m.w.H.).</w:t>
      </w:r>
    </w:p>
    <w:p>
      <w:r>
        <w:t>- 8 -</w:t>
      </w:r>
    </w:p>
    <w:p>
      <w:r>
        <w:t>Sachentziehung i.S.v. Art. 141 StGB begeht, wer dem Berechtigten ohne Aneignungsabsicht eine bewegliche Sache entzieht und ihm dadurch einen erheblichen Nachteil zufügt. Die Sachentziehung ist ein Auffangtatbestand zu den Aneignungsdelikten (BGE 115 IV 207 E. 1a S. 209).</w:t>
      </w:r>
    </w:p>
    <w:p>
      <w:r>
        <w:rPr>
          <w:b/>
        </w:rPr>
        <w:t>E. 4.3</w:t>
      </w:r>
    </w:p>
    <w:p>
      <w:r>
        <w:t>Aufgrund der Vertragsunterzeichnung war dem Beschuldigten sowohl be- kannt, dass die Leasinggesellschaft den Vertrag wegen ausstehenden Zah- lungen auflösen konnte als auch die Konsequenz der Vertragsauflösung, na- mentlich die Rückgabepflicht des geleasten Fahrzeugs. Der Beschuldigte hat vor seiner Fahrt nach Ungarn die Leasingrate bezahlt. Er hat während seines mehrmonatigen Aufenthalts in Ungarn die Leasingraten nicht mehr bezahlt und ist in der Folge ohne das geleaste Fahrzeug in die Schweiz zu- rückgekehrt. Er hat auch bis dato die ausstehenden Zahlungen nicht begli- chen. In Anwendung des Grundsatzes in dubio pro duriore ist daher davon auszugehen, dass die Nichtrückgabe des geleasten Fahrzeugs mit Aneig- nungsabsicht erfolgte und der Beschuldigte sich nach Art. 138 Ziff. 1 Abs. 1 StGB strafbar gemacht haben könnte (vgl. BGE 143 IV 297 E. 1.4 S. 300 ff.; Urteil des Bundesgerichts 6B_1340/2015 vom 17. März 2017 E. 2.3). Auf- grund des äusseren Tathergangs kann mit dem Gesuchsteller darauf ge- schlossen werden, dass der Beschuldigte mutmasslich in Ungarn den An- eignungswillen gefasst hat. Die Annahme des Gesuchstellers erscheint vor- liegend als naheliegend und es kann im Gerichtsstandsverfahren darauf ab- gestellt werden. Dies ergibt sich schon daraus, dass sich an den Schlussfol- gerungen des Gesuchstellers nichts ändert, wenn der Beschuldigte anläss- lich seiner Einvernahme von seinem Schweigerecht Gebrauch machen oder den Vorwurf nicht weiter glaubhaft bestreiten sollte. Hinweise, dass der Be- schuldigte den Aneignungsentschluss bereits in der Schweiz gefasst hat, sind demgegenüber den Akten nicht zu entnehmen. Der Tatort ist damit im Ausland anzusiedeln.</w:t>
      </w:r>
    </w:p>
    <w:p>
      <w:r>
        <w:rPr>
          <w:b/>
        </w:rPr>
        <w:t>E. 4.4</w:t>
      </w:r>
    </w:p>
    <w:p>
      <w:r>
        <w:t>Damit ist für die Festlegung der örtlichen Zuständigkeit der aktuelle Wohnsitz des Beschuldigten massgebend. Dieser befindet sich im Kanton Aargau.</w:t>
      </w:r>
    </w:p>
    <w:p>
      <w:r>
        <w:rPr>
          <w:b/>
        </w:rPr>
        <w:t>E. 5</w:t>
      </w:r>
    </w:p>
    <w:p>
      <w:r>
        <w:t>Nach dem Gesagten sind die Strafverfolgungsbehörden des Kantons Aargau berechtigt und verpflichtet zu erklären, die C. zur Last gelegte Straftat zu verfolgen und zu beurteilen.</w:t>
      </w:r>
    </w:p>
    <w:p>
      <w:r>
        <w:rPr>
          <w:b/>
        </w:rPr>
        <w:t>E. 6</w:t>
      </w:r>
    </w:p>
    <w:p>
      <w:r>
        <w:t>Es ist keine Gerichtsgebühr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