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BG.2020.45 vom 26. November 2020</w:t>
      </w:r>
    </w:p>
    <w:p>
      <w:r>
        <w:t>Bundesstrafgericht, 2020-11-26, DE</w:t>
      </w:r>
    </w:p>
    <w:p>
      <w:r>
        <w:rPr>
          <w:b/>
        </w:rPr>
        <w:t xml:space="preserve">Quelle: </w:t>
      </w:r>
      <w:r>
        <w:t>https://mcp.opencaselaw.ch/entscheid/bstger_BG.2020.45</w:t>
      </w:r>
    </w:p>
    <w:p>
      <w:r>
        <w:t>FR: TPF BG.2020.45 du 26 novembre 2020</w:t>
      </w:r>
    </w:p>
    <w:p>
      <w:r>
        <w:t>IT: TPF BG.2020.45 del 26 novembre 2020</w:t>
      </w:r>
    </w:p>
    <w:p>
      <w:pPr>
        <w:pStyle w:val="Heading2"/>
      </w:pPr>
      <w:r>
        <w:t>Regeste</w:t>
      </w:r>
    </w:p>
    <w:p>
      <w:r>
        <w:t>Anfechtung des Gerichtsstands (Art. 41 Abs. 2 StPO).</w:t>
      </w:r>
    </w:p>
    <w:p>
      <w:pPr>
        <w:pStyle w:val="Heading2"/>
      </w:pPr>
      <w:r>
        <w:t>Erwägungen</w:t>
      </w:r>
    </w:p>
    <w:p>
      <w:r>
        <w:rPr>
          <w:b/>
        </w:rPr>
        <w:t>E. 1</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t>Der Beschwerdeführer ist als Beschuldigter Partei des Strafverfahrens (vgl. Art. 104 Abs. 1 lit. a StPO). Er ist damit zur Einreichung einer Be- schwerde gegen eine Gerichtsstandsverfügung legitimiert (vgl. Art. 41 Abs. 2 StPO). Sie ist auch frist- und formgerecht erhoben. Auf die Beschwerde ist einzutreten.</w:t>
      </w:r>
    </w:p>
    <w:p>
      <w:r>
        <w:t>- 5 -</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StPO).</w:t>
      </w:r>
    </w:p>
    <w:p>
      <w:r>
        <w:rPr>
          <w:b/>
        </w:rPr>
        <w:t>E. 2.2</w:t>
      </w:r>
    </w:p>
    <w:p>
      <w:r>
        <w:t>Vorsätzliche Widerhandlungen gegen die Tierschutzgesetzgebung werden mit Busse bis zu Fr. 20'000.-- bestraft (Art. 28 Abs. 1 lit. a bis i TSchG). Ver- such ist strafbar (Art. 28 Abs. 2 TSchG). Mit Freiheitsstrafe bis zu drei Jahren oder Geldstrafe wird bestraft, (lit. b) wer Betäubungsmittel unbefugt lagert, versendet, befördert, einführt, ausführt oder durchführt; (lit. g) wer zu einer Widerhandlung nach den Buchstaben a bis f Anstalten trifft (Art. 19 Abs. 1 lit. b und g BetmG). Mit Freiheitsstrafe bis zu drei Jahren oder Geldstrafe wird bestraft, wer als Medizinalperson Betäubungsmittel anders als nach Artikel 11 oder 13 ver- wendet oder abgibt (Art. 20 Abs. 1 lit. d BetmG). Nach Art. 11 BetmG sind Ärzte und Tierärzte verpflichtet, Betäubungsmittel nur in dem Umfange zu verwenden, abzugeben und zu verordnen, wie dies nach den anerkannten Regeln der medizinischen Wissenschaften notwendig ist (Art. 11 Abs. 1 BetmG). Ärzte und Tierärzte, die als Arzneimittel zugelassene Betäubungs- mittel für eine andere als die zugelassenen Indikationen abgeben oder ver- ordnen, müssen dies innerhalb von 30 Tagen den zuständigen kantonalen Behörden melden. Sie haben auf Verlangen der zuständigen kantonalen Be- hörden alle notwendigen Angaben über Art und Zweck der Behandlung zu machen (Art. 11 Abs. 1bis BetmG).</w:t>
      </w:r>
    </w:p>
    <w:p>
      <w:r>
        <w:rPr>
          <w:b/>
        </w:rPr>
        <w:t>E. 2.3</w:t>
      </w:r>
    </w:p>
    <w:p>
      <w:r>
        <w:t>Der Beschwerdeführer soll mit Freiheitsstrafe oder Geldstrafe bedrohte Wi- derhandlungen gegen das Betäubungsmittelgesetz und mit Busse bedrohte versuchte Widerhandlungen gegen das Tierschutzgesetz begangen haben. Die Betäubungsmitteldelikte sind somit die mit der schwersten Strafe be- drohte Taten. Allerdings wurde das Betäubungsmittel zwar bestellt und ein- geführt; der Beschwerdeführer kam jedoch als Medizinalperson (Art. 20 Abs. 1 lit. d BetmG) nicht dazu, es zu verwenden. Liegt insoweit allenfalls ein Versuch vor, ist die Einfuhr das schwerste und damit nach Art. 34 Abs. 1 StPO gerichtsstandsbegründende Delikt (vgl. BAUMGARTNER, Die Zuständig- keit im Strafverfahren, 2014, S. 235). Massgeblich ist damit, wo der Be- schwerdeführer das Betäubungsmittel bestellt hat.</w:t>
      </w:r>
    </w:p>
    <w:p>
      <w:r>
        <w:rPr>
          <w:b/>
        </w:rPr>
        <w:t>E. 2.4</w:t>
      </w:r>
    </w:p>
    <w:p>
      <w:r>
        <w:t>Der Beschwerdeführer bringt vor, […] auch ausserhalb der Räumlichkeiten […] gearbeitet zu haben, namentlich an seinem Privatdomizil. Er habe sich dort einen kleinen Raum ausgestattet, worin er regelmässig am Abend und</w:t>
      </w:r>
    </w:p>
    <w:p>
      <w:r>
        <w:t>- 6 -</w:t>
      </w:r>
    </w:p>
    <w:p>
      <w:r>
        <w:t>am Wochenende gearbeitet habe. Das Betäubungsmittel für insgesamt Fr. 30.-- sei wahrscheinlich in Y. bestellt und bezahlt worden. Dafür die be- rufliche E-Mailadresse zu verwenden heisse nicht, es auch am Arbeitsort zu bestellen. Auf die Frage, von welchem Ort aus die Bestellung abgegeben worden sei, habe er geantwortet: «Das weiss ich nicht mehr, vielleicht in mei- nem Büro» (Einvernahmeprotokoll, S. 4). Gemäss Anmerkung seines Rechtsanwaltes habe er gesagt, nicht sicher gewesen zu sein, ob er sich im Büro aufgehalten habe oder ob er zuhause gewesen sei, als er die Bestel- lung tätigte (Einvernahmeprotokoll, S. 7). Mein Büro beziehe sich nicht auf […], sondern auf das Bürozimmer zuhause. Die Untersuchung habe den Tat- ort nicht klären können. Bei den vorliegenden Tätigkeitsdelikten gebe es kei- nen Erfolgsort. Der ungewisse Tatort führe dazu, dass nach Art. 32 StPO an den Wohnsitz anzuknüpfen sei. Dieser sei nach wie vor im Kanton Waadt. Eventualiter sei der Kanton Zürich zuständig, wo das Betäubungsmittel be- schlagnahmt wurde (act. 1).</w:t>
      </w:r>
    </w:p>
    <w:p>
      <w:r>
        <w:rPr>
          <w:b/>
        </w:rPr>
        <w:t>E. 2.5</w:t>
      </w:r>
    </w:p>
    <w:p>
      <w:r>
        <w:t>Dem Beschwerdeführer ist insofern beizupflichten, als Betäubungsmittelde- likte Tätigkeitsdelikte sind und als solche keinen Erfolgsort kennen. Auf die Frage «an welcher Örtlichkeit haben Sie sich aufgehalten, als Sie diese Be- stellung tätigten» erwähnte der Beschwerdeführer das «Büro» als den mög- lichen Bestellort. In diesem Zusammenhang liegt es näher, mit «Büro» den Arbeitsort zu bezeichnen und für «zu Hause» oder «am Wohnort» entspre- chende Worte zu verwenden. Für eine Bestellung am Arbeitsort sprechen auch weitere Umstände: So war das Betäubungsmittel für den beruflichen Einsatz bestimmt. In einer zweiten Phase sollte ihm […] den Kaufpreis zu- rückzahlen. Das Betäubungsmittel wurde an seinen Arbeitsplatz bestellt. Er bestellte es mit seiner beruflichen E-Mail-Adresse. Gegen die Bestellung am Arbeitsort könnte sprechen, dass der Bestelltag (15. September 2019) ein Sonntag war. Indes arbeiten […] zuweilen auch an Wochenenden. Dass er sich zuhause ein Bürozimmer eingerichtet habe, heisst jedenfalls nicht, dass das Betäubungsmittel auch dort bestellt wurde. Für die Beschwerdekammer muss die Bestellung insgesamt mit ausreichender Wahrscheinlichkeit am Ar- beitsort des Beschwerdeführers […] erfolgt sein. Der Kanton Bern ist damit für das vorliegende Strafverfahren zuständig. Gegenüber dem Bestellort tritt vorliegend der Kanton Zürich als Ort (nur) der Grenzkontrolle und Sicherstel- lung zurück.</w:t>
      </w:r>
    </w:p>
    <w:p>
      <w:r>
        <w:rPr>
          <w:b/>
        </w:rPr>
        <w:t>E. 2.6</w:t>
      </w:r>
    </w:p>
    <w:p>
      <w:r>
        <w:t>Damit sind die Behörden des Kantons Bern berechtigt und verpflichtet, die Vorwürfe gegen A. zu verfolgen und zu beurteilen, weshalb die Beschwerde abzuweisen ist.</w:t>
      </w:r>
    </w:p>
    <w:p>
      <w:r>
        <w:t>- 7 -</w:t>
      </w:r>
    </w:p>
    <w:p>
      <w:r>
        <w:rPr>
          <w:b/>
        </w:rPr>
        <w:t>E. 3</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dem Beschwerdeführer aufzuerlegen.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