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BG.2020.34 vom 27. August 2020</w:t>
      </w:r>
    </w:p>
    <w:p>
      <w:r>
        <w:t>Bundesstrafgericht, 2020-08-27, DE</w:t>
      </w:r>
    </w:p>
    <w:p>
      <w:r>
        <w:rPr>
          <w:b/>
        </w:rPr>
        <w:t xml:space="preserve">Quelle: </w:t>
      </w:r>
      <w:r>
        <w:t>https://mcp.opencaselaw.ch/entscheid/bstger_BG.2020.34</w:t>
      </w:r>
    </w:p>
    <w:p>
      <w:r>
        <w:t>FR: TPF BG.2020.34 du 27 août 2020</w:t>
      </w:r>
    </w:p>
    <w:p>
      <w:r>
        <w:t>IT: TPF BG.2020.34 del 27 agosto 2020</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rPr>
          <w:b/>
        </w:rPr>
        <w:t>E. 2.2.1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 urteilung sämtlicher Taten die Behörden des Ortes zuständig, an dem die mit der schwersten Strafe bedrohte Tat begangen worden ist. Bei gleicher Straf- drohung sind die Behörden des Ortes zuständig, an dem zuerst Verfolgungs- handlungen vorgenommen worden sind (Art. 34 Abs. 1 StPO). Hat ein Mittäter ausser den in Mittäterschaft verübten Verfehlungen an anderen Orten noch weitere Delikte verübt, die mit gleicher Strafe bedroht sind wie die in Mittäter- schaft verübten, so bestimmt sich der Gerichtsstand für alle Beteiligten nach dem Ort, wo die Untersuchung zuerst angehoben wurde, und dies selbst dann, wenn nur die allein verübten Taten Gegenstand der ersten Untersu- chungshandlungen bildeten (vgl. Beschluss des Bundesstrafgerichts BG.2012.16 vom 15. Juni 2012 E. 3.1 m.w.H.).</w:t>
      </w:r>
    </w:p>
    <w:p>
      <w:r>
        <w:rPr>
          <w:b/>
        </w:rPr>
        <w:t>E. 2.2.2</w:t>
      </w:r>
    </w:p>
    <w:p>
      <w:r>
        <w:t>Begehen mehrere Beschuldigte zusammen in verschiedenen Kantonen meh- rere Delikte, so sind Art. 33 und Art. 34 Abs. 1 StPO so miteinander zu kom- binieren, dass in der Regel alle Mitwirkenden an dem Orte verfolgt werden, wo von einem Mittäter die mit der schwersten Strafe bedrohte Tat verübt wor- den ist. Bei gleich schweren Strafdrohungen bestimmt sich der Gerichtsstand</w:t>
      </w:r>
    </w:p>
    <w:p>
      <w:r>
        <w:t>- 5 -</w:t>
      </w:r>
    </w:p>
    <w:p>
      <w:r>
        <w:t>für alle Beteiligten nach dem Ort, wo die Verfolgungshandlungen zuerst vor- genommen worden sind (vgl. hierzu u.a. Beschlüsse des Bundesstrafgerichts BG.2011.49 vom 19. Januar 2012 E. 2.1; BG.2011.33 vom 28. September 2011 E. 2.2.1; BG.2011.4 vom 10. August 2011 E. 2.2.2).</w:t>
      </w:r>
    </w:p>
    <w:p>
      <w:r>
        <w:rPr>
          <w:b/>
        </w:rPr>
        <w:t>E. 2.3</w:t>
      </w:r>
    </w:p>
    <w:p>
      <w:r>
        <w:t>Die Beurteilung der Gerichtsstandsfrage richtet sich nach der aktuellen Ver- dachtslage. Massgeblich ist nicht, was dem Beschuldigten letztlich nachge- wiesen werden kann, sondern der Tatbestand, der Gegenstand der Untersu- chung bildet, es sei denn, dieser erweise sich von vornherein als haltlos oder sei sicher ausgeschlossen. Es gilt der Grundsatz in dubio pro duriore, wonach im Zweifelsfall auf den für den Beschuldigten ungünstigeren Sachverhalt ab- zustellen bzw. das schwerere Delikt anzunehmen ist (vgl. Beschluss des Bun- desstrafgerichts BG.2014.10 vom 10. Juni 2014 E. 2.1).</w:t>
      </w:r>
    </w:p>
    <w:p>
      <w:r>
        <w:rPr>
          <w:b/>
        </w:rPr>
        <w:t>E. 3.1</w:t>
      </w:r>
    </w:p>
    <w:p>
      <w:r>
        <w:t>Zwischen den Parteien ist umstritten, ob der B. vorgeworfene Diebstahl vom 22. Oktober 2019 gerichtsstandsbegründend ist. Der Gesuchsteller führt im Gesuch aus, dass B. bereits rund einen Monat nach seiner Entlassung aus der Haft am 26. September 2019 erneut delinquiert habe. Aufgrund des der Waadtländer Polizei bekannten modus operandi von B. aus früheren Fällen, könne von einem Gesamtvorsatz ausgegangen werden. Aufgrund der Vorge- schichte von B. könne gewerbs- und bandenmässiges Handeln nicht ausge- schlossen werden (act. 1).</w:t>
      </w:r>
    </w:p>
    <w:p>
      <w:r>
        <w:t>Der Gesuchsgegner hält dem entgegen, es handle sich beim Diebstahl vom 22. Oktober 2019 angesichts des Deliktswertes von Fr. 4.55 um ein geringfü- giges Delikt, das mit Busse zu ahnden sei. Die übrigen B. vorgeworfenen De- likte, namentlich der bandenmässige (Einbruch-)Diebstahl in Z./VS weise ei- nen höheren Strafrahmen auf und sei deshalb für die Bestimmung des Ge- richtsstandes massgebend (act. 3).</w:t>
      </w:r>
    </w:p>
    <w:p>
      <w:r>
        <w:rPr>
          <w:b/>
        </w:rPr>
        <w:t>E. 3.2.1</w:t>
      </w:r>
    </w:p>
    <w:p>
      <w:r>
        <w:t>Mit Freiheitsstrafe bis zu fünf Jahren oder Geldstrafe wird bestraft, wer jeman- dem eine fremde bewegliche Sache zur Aneignung wegnimmt, um sich oder einen andern damit unrechtmässig zu bereichern (Art. 139 Ziff. 1 StGB).</w:t>
      </w:r>
    </w:p>
    <w:p>
      <w:r>
        <w:rPr>
          <w:b/>
        </w:rPr>
        <w:t>E. 3.2.2</w:t>
      </w:r>
    </w:p>
    <w:p>
      <w:r>
        <w:t>Der Dieb wird mit Freiheitsstrafe bis zu zehn Jahren oder Geldstrafe nicht un- ter 90 Tagessätzen bestraft, wenn er gewerbsmässig stiehlt (Art. 139 Ziff. 2 StGB). Nach der Rechtsprechung des Bundesgerichts liegt der Ansatzpunkt für die Definition der Gewerbsmässigkeit im berufsmässigen Handeln. Der Tä- ter handelt berufsmässig, wenn sich aus der Zeit und den Mitteln, die er für</w:t>
      </w:r>
    </w:p>
    <w:p>
      <w:r>
        <w:t>- 6 -</w:t>
      </w:r>
    </w:p>
    <w:p>
      <w:r>
        <w:t>die deliktische Tätigkeit aufwendet, aus der Häufigkeit der Einzelakte inner- halb eines bestimmten Zeitraums sowie aus den angestrebten und erzielten Einkünften ergibt, dass er die deliktische Tätigkeit nach der Art eines Berufes ausübt. Wesentlich für die Annahme der Gewerbsmässigkeit ist, dass sich der Täter, wie aus den gesamten Umständen geschlossen werden muss, darauf eingerichtet hat, durch deliktische Handlungen Einkünfte zu erzielen, die einen namhaften Beitrag an die Kosten zur Finanzierung seiner Lebensge- staltung darstellen. Zudem muss er die Tat bereits mehrfach begangen haben (BGE 129 IV 253 E. 2.1 S. 254; Urteile des Bundesgerichts 6B_290/2016 vom 15. August 2016 E. 1.2; 6B_550/2016 vom 10. August 2016 E. 2.3).</w:t>
      </w:r>
    </w:p>
    <w:p>
      <w:r>
        <w:rPr>
          <w:b/>
        </w:rPr>
        <w:t>E. 3.2.3</w:t>
      </w:r>
    </w:p>
    <w:p>
      <w:r>
        <w:t>Der qualifizierte Tatbestand des Diebstahls ist ferner gegeben, wenn der Dieb den Diebstahl als Mitglied einer Bande ausführt, die sich zur fortgesetzten Verübung von Raub oder Diebstahl zusammengefunden hat (Art. 139 Ziff. 3 Abs. 2 StGB). Nach der Rechtsprechung ist Bandenmässigkeit gegeben, wenn zwei oder mehrere Täter sich mit dem ausdrücklich oder konkludent geäusserten Willen zusammenfinden, inskünftig zur Verübung mehrerer selb- ständiger Straftaten zusammenzuwirken. Es macht hierbei keinen Unter- schied, ob zwei oder mehrere Täter vorhanden sind. Haben sich nur zwei Per- sonen zur fortgesetzten Begehung von Straftaten zusammengefunden, so kann eine bandenmässige Tatbegehung nicht ausgeschlossen werden, wenn gewisse Mindestansätze einer Organisation und die Intensität des Zusam- menwirkens ein derartiges Ausmass erreichen, dass von einem bis zu einem gewissen Grade fest verbundenen und stabilen Team gesprochen werden kann (BGE 135 IV 158 E. 2 und E. 3). Ist demgegenüber schon die Zusam- menarbeit derart locker, dass von Anfang an nur ein sehr loser und damit völ- lig unbeständiger Zusammenhalt besteht, liegt keine Bande vor (BGE 124 IV 86 E. 2b).</w:t>
      </w:r>
    </w:p>
    <w:p>
      <w:r>
        <w:rPr>
          <w:b/>
        </w:rPr>
        <w:t>E. 3.2.4</w:t>
      </w:r>
    </w:p>
    <w:p>
      <w:r>
        <w:t>Richtet sich das Vermögensdelikt nur auf einen geringen Vermögenswert oder auf einen geringen Schaden, so wird der Täter mit Busse bestraft (Art. 172ter Abs. 1 StGB). Gemäss Art. 172ter Abs. 2 StGB gelangt die Vorschrift in Abs. 1 beim qualifizierten Diebstahl i.S.v. Art. 139 Ziff. 2 und 3 StGB nicht zur An- wendung. Das Bundesgericht setzte die Grenze für den geringen Vermögens- wert i.S.v. Art. 172ter Abs. 1 StGB bei Fr. 300.-- fest (BGE 142 IV 129 E. 3.1 S. 133; Urteil des Bundesgerichts 6B_1318/2015 vom 18. November 2016 E. 1.1). Für die Anwendung von Art. 172ter StGB ist der Vorsatz des Täters entscheidend und nicht der eingetretene Erfolg. Art. 172ter StGB ist nur an- wendbar, wenn der Täter von vornherein bloss einen geringen Vermögens- wert oder einen geringen Schaden im Auge hatte. War der (Eventual-) Vorsatz des Täters auf eine den Grenzwert übersteigende Summe gerichtet, kommt Art. 172ter StGB deshalb auch dann nicht zur Anwendung, wenn die Delikts- summe unter dem Grenzwert von Fr. 300.-- liegt (BGE 123 IV 197 E. 2a</w:t>
      </w:r>
    </w:p>
    <w:p>
      <w:r>
        <w:t>- 7 -</w:t>
      </w:r>
    </w:p>
    <w:p>
      <w:r>
        <w:t>S. 199; Urteil des Bundesgerichts 6B_1318/2015 vom 18. November 2016 E. 1.1).</w:t>
      </w:r>
    </w:p>
    <w:p>
      <w:r>
        <w:rPr>
          <w:b/>
        </w:rPr>
        <w:t>E. 3.3.1</w:t>
      </w:r>
    </w:p>
    <w:p>
      <w:r>
        <w:t>Für die Bestimmung des gesetzlichen Gerichtsstandes entscheidend ist die Frage, wo anhand der vorliegenden Akten vom erstmaligen Vorliegen des qualifizierten Diebstahls – als mit der schwersten Strafe bedrohe Tat i.S.v. Art. 34 Abs. 1 StPO – auszugehen ist.</w:t>
      </w:r>
    </w:p>
    <w:p>
      <w:r>
        <w:rPr>
          <w:b/>
        </w:rPr>
        <w:t>E. 3.3.2</w:t>
      </w:r>
    </w:p>
    <w:p>
      <w:r>
        <w:t>B. wird verdächtigt, mehrere Diebstähle an verschiedenen Orten begangen zu haben. Unter anderem wird ihm vorgeworfen, am 22. Oktober 2019 in X./VD, am 2. Januar 2020 in Z./VS und am 14. Januar 2020 in Y./VD Dieb- stähle begangen zu haben.</w:t>
      </w:r>
    </w:p>
    <w:p>
      <w:r>
        <w:rPr>
          <w:b/>
        </w:rPr>
        <w:t>E. 3.3.3</w:t>
      </w:r>
    </w:p>
    <w:p>
      <w:r>
        <w:t>Die Auswertung des am Tatort in Z./VS sichergestellten Videomaterials hat ergeben, dass B. den Diebstahl vom 2. Januar 2020 im Umfang von rund Fr. 4‘000.-- mutmasslich zusammen mit C. begangen hat (Verfahrensakten, Dossier SAO, pag. 3). Weiter wird B. verdächtigt, am 14. Januar 2020 in der Tankstelle E. in Y./VD Bargeld in Höhe von Fr. 21'915.-- gestohlen zu haben. Auch hier soll der Beschuldigte nicht alleine gehandelt haben (Verfahrensak- ten, Dossier SAO, pag. 27).</w:t>
      </w:r>
    </w:p>
    <w:p>
      <w:r>
        <w:rPr>
          <w:b/>
        </w:rPr>
        <w:t>E. 3.3.4</w:t>
      </w:r>
    </w:p>
    <w:p>
      <w:r>
        <w:t>In Bezug auf den Ladendiebstahl vom 22. Oktober 2019 wird B. vorgeworfen, in der Filiale F. in X./VD Artikel in den Einkaufswagen gelegt und das Geschäft verlassen zu haben, ohne diese zu bezahlen. Gemäss Polizeibericht vom 22. Januar 2020 sei auf der sichergestellten Videoaufnahme zu sehen, wie B. die Ware in ein Fahrzeug mit der Nummer 1 geladen habe und anschliessend in unbekannte Richtung weggefahren sei. Gestützt auf die Videoaufnahme habe festgestellt werden können, dass es sich bei der entwendeten Ware um eine Flasche Orangesaft und eine Packung Vollmilch im Wert von total Fr. 4.55 handelte. Die übrigen in den Einkaufwagen gelegten Artikel konnten nicht identifiziert werden (Verfahrensakten, Dossier VD, pag. 23, 34). Die als Auskunftsperson einvernommene G. gab gegenüber der Waadtländer Kan- tonspolizei am 10. Dezember 2019 an, ihr Fahrzeug mit der Nummer 1 an B. ausgeliehen zu haben (Verfahrensakten, Dossier VD, pag. 12).</w:t>
      </w:r>
    </w:p>
    <w:p>
      <w:r>
        <w:rPr>
          <w:b/>
        </w:rPr>
        <w:t>E. 3.4</w:t>
      </w:r>
    </w:p>
    <w:p>
      <w:r>
        <w:t>Dass es sich bei den Vorwürfen vom 2. und 14. Januar 2020 um bandenmäs- sigen Diebstahl i.S.v. Art. 139 Ziff. 3 Abs. 2 StGB handelt, ist zwischen den Parteien unbestritten und bedarf keiner weiteren Ausführungen. Zwar ist der Gesamtwert der am 22.Oktober 2019 entwendeten Artikel in X./VD nicht be- kannt. Jedoch ist gestützt auf die vorliegenden Akten davon auszugehen, dass B. in der Filiale F. vorwiegend Lebensmittel im Wert von unter Fr. 300.-- in den Einkaufwagen gelegt hatte. Zudem ist anzunehmen, dass sich sein</w:t>
      </w:r>
    </w:p>
    <w:p>
      <w:r>
        <w:t>- 8 -</w:t>
      </w:r>
    </w:p>
    <w:p>
      <w:r>
        <w:t>Vorsatz auf einen Vermögenswert unter Fr. 300.-- richtete. Damit wäre dieser Vorwurf einzeln betrachtet als geringfügiger Diebstahl i.S.v. Art. 139 Abs. 1 i.V.m. Art. 172ter Abs. 1 StGB zu qualifizieren. Entgegen der Ansicht des Ge- suchstellers lassen die vorliegenden Akten den Schluss nicht zu, dass B. be- reits seit Ende Oktober 2019 auf einem bandenmässigen «Streifzug» durch die Schweiz unterwegs gewesen sein soll. Der Ladendiebstahl in X./VD vom 22. Oktober 2019 richtete sich wohl auf das Entwenden von Lebensmitteln und B. handelte mutmasslich allein. Die bandenmässigen (Einbruch-)Dieb- stähle fanden erst ab Januar 2020 statt und richteten sich – soweit gestützt auf die vorliegenden Akten beurteilt werden kann – hauptsächlich auf das Ent- wenden von Bargeld aus Tankstellen bzw. deren Büroräumlichkeiten. Hin- weise, dass sich die Bande bereits Ende Oktober 2019 zur Verübung einer Vielzahl von Delikten zusammengefunden hat, sind den bisherigen Ermitt- lungsergebnissen nicht zu entnehmen. Angesichts der fehlenden Häufigkeit bzw. der zeitlichen Distanz zwischen Ende Oktober 2019 und Anfang Januar 2020 ist auch gewerbsmässiges Handeln zu verneinen. Unter diesen Umstän- den ist der Ladendiebstahl vom 22. Oktober 2019 nicht als Teil der ab Januar 2020 erfolgten, qualifizierten Diebstähle zu werten, weshalb diesbezüglich Art. 172ter Abs. 1 StGB zur Anwendung gelangt (vgl. supra E. 3.2.4).</w:t>
      </w:r>
    </w:p>
    <w:p>
      <w:r>
        <w:rPr>
          <w:b/>
        </w:rPr>
        <w:t>E. 3.5</w:t>
      </w:r>
    </w:p>
    <w:p>
      <w:r>
        <w:t>Aus dem Gesagten folgt, dass die mit der schwersten Strafe bedrohten Taten am 2. Januar 2020 in Z./VS und am 14. Januar 2020 in Y./VD stattgefunden haben, weshalb diese für die Bestimmung des Gerichtsstandes massgebend sind. Da die ersten Verfolgungshandlungen in Z./VS vorgenommen worden sind, liegt der gesetzliche Gerichtsstand i.S.v. Art. 34 Abs. 1 StPO im Kanton Wallis.</w:t>
      </w:r>
    </w:p>
    <w:p>
      <w:r>
        <w:rPr>
          <w:b/>
        </w:rPr>
        <w:t>E. 4</w:t>
      </w:r>
    </w:p>
    <w:p>
      <w:r>
        <w:t>Nach dem Gesagten liegt der gesetzliche Gerichtsstand im Kanton Wallis. Der Antrag des Gesuchstellers ist daher abzuweisen und es sind die Strafverfol- gungsbehörden des Kantons Wallis für berechtigt und verpflichtet zu erklären, die B. und Unbekannt zur Last gelegten Delikte zu verfolgen und zu beurtei- len.</w:t>
      </w:r>
    </w:p>
    <w:p>
      <w:r>
        <w:rPr>
          <w:b/>
        </w:rPr>
        <w:t>E. 5</w:t>
      </w:r>
    </w:p>
    <w:p>
      <w:r>
        <w:t>Es sind keine Gerichtskosten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