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BG.2020.33 vom 9. September 2020</w:t>
      </w:r>
    </w:p>
    <w:p>
      <w:r>
        <w:t>Bundesstrafgericht, 2020-09-09, DE</w:t>
      </w:r>
    </w:p>
    <w:p>
      <w:r>
        <w:rPr>
          <w:b/>
        </w:rPr>
        <w:t xml:space="preserve">Quelle: </w:t>
      </w:r>
      <w:r>
        <w:t>https://mcp.opencaselaw.ch/entscheid/bstger_BG.2020.33</w:t>
      </w:r>
    </w:p>
    <w:p>
      <w:r>
        <w:t>FR: TPF BG.2020.33 du 9 septembre 2020</w:t>
      </w:r>
    </w:p>
    <w:p>
      <w:r>
        <w:t>IT: TPF BG.2020.33 del 9 settembre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Der Ausführungsort befindet sich dort, wo der Täter gehandelt hat (BGE 86 IV 222 E. 1). Nach den allgemeinen Grundsätzen hat der Gerichtsstand des Tatortes Vorrang (TPF 2015 23 E. 2.1.1 m.w.H; Beschluss des Bundesstrafgerichts BG.2017.34 vom 29. Dezember 2017 E. 2.3.2).</w:t>
      </w:r>
    </w:p>
    <w:p>
      <w:r>
        <w:rPr>
          <w:b/>
        </w:rPr>
        <w:t>E. 2.2</w:t>
      </w:r>
    </w:p>
    <w:p>
      <w:r>
        <w:t>Ist eine Straftat im Ausland verübt worden oder kann der Tatort nicht ermittelt werden, so sind für die Verfolgung und Beurteilung die Behörden des Ortes zuständig, an dem die beschuldigte Person ihren Wohnsitz oder ihren ge- wöhnlichen Aufenthalt hat (Art. 32 Abs. 1 und 2 StPO). Hat die beschuldigte Person weder Wohnsitz noch gewöhnlichen Aufenthalt in der Schweiz, so sind die Behörden des Heimatortes zuständig; fehlt auch ein Heimatort, so sind die Behörden des Ortes zuständig, an dem die beschuldigte Person an- getroffen worden ist (Art. 32 Abs. 1 und 2 StPO; TPF 2015 23 E. 2.1.3 m.w.H.). Fehlt ein Gerichtsstand nach den Absätzen von 1 und 2 von Art. 32 StPO, so sind die Behörden des Kantons zuständig, der die Auslieferung verlangt hat. Liegt ein gesetzlicher Gerichtsstand i.S.v. Art. 31-37 StPO nicht</w:t>
      </w:r>
    </w:p>
    <w:p>
      <w:r>
        <w:t>- 5 -</w:t>
      </w:r>
    </w:p>
    <w:p>
      <w:r>
        <w:t>vor, ist in analoger Anwendung von Art. 40 Abs. 3 StPO ein anderer Ge- richtsstand festzulegen (Beschluss des Bundesstrafgerichts BG.2012.14 vom 2. August 2012 E. 2.3). In Verfahren, in denen die beschuldigte Person ein geleastes Fahrzeug nach Auflösung des Vertrages nicht zurückgibt, sie eine ausländische Staatsangehörige ist, die bei Einleitung des Verfahrens weder ihren Wohnsitz noch gewöhnlichen Aufenthalt in der Schweiz hat bzw. sich im Ausland befindet, wobei ihre Auslieferung nicht verlangt wurde, ist nach der Rechtsprechung der Sitz der geschädigten Leasinggesellschaft ge- richtsstandsrelevant (Beschluss des Bundesstrafgerichts BG.2018.20 vom 17. Juli 2018 E. 3.4.3 m.w.H.). Diese Praxis stützt sich auf die bundesge- richtliche Rechtsprechung, die den Ort der Entreicherung bzw. Schädigung als Erfolgsort von Art. 138 StGB i.V.m. Art. 8 StGB betrachtet (a.a.O., unter Hinweis auf BGE 124 IV 241 E. 4c und 4d).</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rPr>
          <w:b/>
        </w:rPr>
        <w:t>E. 4.1</w:t>
      </w:r>
    </w:p>
    <w:p>
      <w:r>
        <w:t>Die Parteien sind sich darüber einig, dass nach der vorgenannten Recht- sprechung unter den vorliegenden Umständen grundsätzlich der Sitz der ge- schädigten Leasinggesellschaft als Ort der Entreicherung gerichtsstandsre- levant ist.</w:t>
      </w:r>
    </w:p>
    <w:p>
      <w:r>
        <w:t>Umstritten ist, ob dabei ausschliesslich der Sitz der B. AG in W./ZH (so der Gesuchsteller [Kanton Bern] und Gesuchsgegner 2 [Kanton St. Gallen]) massgeblich ist oder ob eine (alternative) Anknüpfungsmöglichkeit am Ort</w:t>
      </w:r>
    </w:p>
    <w:p>
      <w:r>
        <w:t>- 6 -</w:t>
      </w:r>
    </w:p>
    <w:p>
      <w:r>
        <w:t>der Zweigniederlassung der B. AG in Y./SG (so der Gesuchsgegner 2 [Kan- ton Zürich]) zu bejahen ist.</w:t>
      </w:r>
    </w:p>
    <w:p>
      <w:r>
        <w:rPr>
          <w:b/>
        </w:rPr>
        <w:t>E. 4.2</w:t>
      </w:r>
    </w:p>
    <w:p>
      <w:r>
        <w:t>Der Gesuchsgegner 1 hält die analoge Anwendung bzw. Begründung der Rechtsprechung des Bundesstrafgerichts (Beschluss BG.2012.32 vom 12. November 2012) zum Gerichtsstand bei Straftaten durch Medien (Art. 35 StPO), mit der Anknüpfungsmöglichkeit am Ort der Zweigniederlassung für angezeigt. Er stellt sich auf dem Standpunkt, dass die Niederlassung in Y./SG das Leasingverhältnis mit C. unterhalten habe, weshalb eine Anknüp- fung am Ort dieses «Unternehmenssitzes» in Y./SG vorzunehmen sei. Mit Blick auf die Rechtsprechung und in analoger Weise – mithin auch unter An- wendung des damit geschaffenen Vertrauens in zivilrechtlicher Hinsicht – und im Interesse der Rechtssicherheit, dass sich der strafprozessuale und der zivilprozessuale Gerichtsstand nach möglichst identischen Kriterien be- stimmen würden, sei der Gerichtsstand am Ort der Zweigniederlassung an- zusiedeln, zumal eine Betroffenheit gegeben sei (act. 1.4 S. 2).</w:t>
      </w:r>
    </w:p>
    <w:p>
      <w:r>
        <w:rPr>
          <w:b/>
        </w:rPr>
        <w:t>E. 4.3</w:t>
      </w:r>
    </w:p>
    <w:p>
      <w:r>
        <w:t>Art. 35 StPO ist eine Spezialbestimmung bei Straftaten durch Medien, wel- che der allgemeinen Bestimmung von Art. 31 Abs. 1 StPO vorgeht. Sie hat keine Bedeutung, wenn eine Gesellschaft geschädigt ist, unabhängig davon, ob es sich um ein Medienunternehmen handelt oder nicht. Eine allfällige ana- loge Anwendung von Art. 12 ZPO entfällt in dieser Konstellation zudem per se, da er auf den Sitz der beklagten Partei (und nicht der klagenden Partei) oder den Ort der Zweigniederlassung derselben abstellt. Dementsprechend ist ausschliesslich der Sitz der geschädigten Leasinggesellschaft gerichts- standsrelevant (Beschluss des Bundesstrafgerichts BG.2018.20 vom 17. Juli 2018 E. 3.4.3 m.w.H), welcher vorliegend auf dem Gebiet des Gesuchsgeg- ners 1 liegt.</w:t>
      </w:r>
    </w:p>
    <w:p>
      <w:r>
        <w:rPr>
          <w:b/>
        </w:rPr>
        <w:t>E. 4.4</w:t>
      </w:r>
    </w:p>
    <w:p>
      <w:r>
        <w:t>Das Gesuch ist folgerichtig gutzuheissen und es sind die Strafbehörden des Gesuchsgegners 1 (Kanton Zürich) für berechtigt und verpflichtet zu erklä- ren, die C. zur Last gelegten Straftaten zu verfolgen und zu beurteilen.</w:t>
      </w:r>
    </w:p>
    <w:p>
      <w:r>
        <w:rPr>
          <w:b/>
        </w:rPr>
        <w:t>E. 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