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BG.2020.28 vom 23. Juli 2020</w:t>
      </w:r>
    </w:p>
    <w:p>
      <w:r>
        <w:t>Bundesstrafgericht, 2020-07-23, IT</w:t>
      </w:r>
    </w:p>
    <w:p>
      <w:r>
        <w:rPr>
          <w:b/>
        </w:rPr>
        <w:t xml:space="preserve">Quelle: </w:t>
      </w:r>
      <w:r>
        <w:t>https://mcp.opencaselaw.ch/entscheid/bstger_BG.2020.28</w:t>
      </w:r>
    </w:p>
    <w:p>
      <w:r>
        <w:t>FR: TPF BG.2020.28 du 23 juillet 2020</w:t>
      </w:r>
    </w:p>
    <w:p>
      <w:r>
        <w:t>IT: TPF BG.2020.28 del 23 luglio 2020</w:t>
      </w:r>
    </w:p>
    <w:p>
      <w:pPr>
        <w:pStyle w:val="Heading2"/>
      </w:pPr>
      <w:r>
        <w:t>Regeste</w:t>
      </w:r>
    </w:p>
    <w:p>
      <w:r>
        <w:t>Conflitti in materia di foro (art. 40 cpv. 2 CPP).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autorità penali esaminano d'ufficio la loro competenza e, se necessario, rimettono il caso all'autorità competente (art. 39 cpv. 1 CPP). Se più autorità penali risultano competenti per territorio, i pubblici ministeri interessati si co- municano senza indugio gli elementi essenziali del caso e si adoperano per raggiungere un'intesa il più rapidamente possibile (art. 39 cpv. 2 CPP). Se le autorità di perseguimento penale di più Cantoni non riescono ad accordarsi sul foro competente, il pubblico ministero del Cantone che per primo si è occupato della causa sottopone senza indugio, in ogni caso prima della pro- mozione dell'accusa, la questione al Tribunale penale federale affinché de- cida (art. 40 cpv. 2 CPP combinato con l'art. 37 cpv. 1 della legge federale del 19 marzo 2010 sull'organizzazione delle autorità penali della Confedera- zione [LOAP; RS 173.71]). Riguardo al termine per sottoporre la vertenza alla scrivente autorità, quest'ultima considera applicabile il termine di 10 giorni previsto dall'art. 396 cpv. 1 CPP, dal quale l'autorità richiedente può scostarsi unicamente in circostanze eccezionali che essa è tenuta a specifi- care (v. segnatamente TPF 2011 94 consid. 2.2). La determinazione dell'au- torità legittimata a rappresentare il proprio Cantone nell'ambito dello scambio di vedute o durante la procedura dinnanzi alla Corte dei reclami penali è retta dalle legislazioni cantonali (art. 14 cpv. 4 CPP; KUHN, Commentario basilese, 2a ediz. 2014, n. 9 ad art. 39 e n. 10 ad art. 40 CPP; SCHMID/JOSITSCH, Handbuch des schweizerischen Strafprozessrechts, 3a ediz. 2017, n. 488; GALLIANI/MARCELLINI, Commentario CPP, 2010, n. 5 ad art. 40 CPP).</w:t>
      </w:r>
    </w:p>
    <w:p>
      <w:r>
        <w:t>Condizione per adire la presente Corte è quindi che tutti i Cantoni coinvolti abbiano provveduto a formulare una loro presa di posizione mediante uno scambio di scritti. Nell'eventualità in cui tale scambio di scritti non abbia por- tato ad alcun esito, si concretizza un conflitto di foro che giustifica l'intervento della scrivente Corte (v. art. 40 cpv. 2 CPP; BOUVERAT, Commentario ro- mando, 2a ediz. 2019, n. 4 ad art. 39 CPP; SCHWERI/BÄNZIGER, Interkanto- nale Gerichtsstandsbestimmung in Strafsachen, 2a ediz. 2004, n. 569 e 599; FINGERHUTH/LIEBER, in: Donatsch/Hansjakob/Lieber (ed.), Kommentar zur Schweizerischen Strafprozessordnung, 2a ediz. 2014, n. 9 ad art. 40 CPP; GUIDON/BÄNZIGER, Die aktuelle Rechtsprechung des Bundesstrafgerichts zum interkantonalen Gerichtsstand in Strafsachen, Jusletter del 21 maggio 2007, n. 5).</w:t>
      </w:r>
    </w:p>
    <w:p>
      <w:r>
        <w:rPr>
          <w:b/>
        </w:rPr>
        <w:t>E. 1.2</w:t>
      </w:r>
    </w:p>
    <w:p>
      <w:r>
        <w:t>Riguardo alla competenza in ambito di conflitti di foro in seno alle autorità di perseguimento penale ticinesi, questa Corte ha già avuto modo di constatare</w:t>
      </w:r>
    </w:p>
    <w:p>
      <w:r>
        <w:t>- 4 -</w:t>
      </w:r>
    </w:p>
    <w:p>
      <w:r>
        <w:t>che, giusta l'art. 67 cpv. 6 della legge cantonale del 10 maggio 2006 sull'or- ganizzazione giudiziaria (LOG; RL TI 177.100), la stessa spetta al procura- tore incaricato del procedimento (v. decisione del Tribunale penale federale BG.2013.16 del 18 luglio 2013 consid. 1.2). Anche per quanto attiene all’au- torità competente del Canton Giura la legge cantonale prevede che compe- tente in materia sia il procuratore pubblico incaricato del procedimento (“Les procureurs agissent à titre indépendent”, art. 43 cpv. 8 della “Loi d’organisa- tion judiciaire” del Canton Giura del 23 febbraio 2000 [LOJ/JU 181.1]). Nella fattispecie, lo scambio di scritti tra la procuratrice pubblica ticinese e il pro- curatore pubblico del Canton Giura è avvenuto tra le autorità competenti. L’istanza di determinazione del foro, presentata in tempo utile dal MP/TI, au- torità che per prima si è occupata della causa, è pertanto ammissibile.</w:t>
      </w:r>
    </w:p>
    <w:p>
      <w:r>
        <w:rPr>
          <w:b/>
        </w:rPr>
        <w:t>E. 2.1</w:t>
      </w:r>
    </w:p>
    <w:p>
      <w:r>
        <w:t>A mente del MP/TI, i reati oggetto del procedimento penale ticinese a carico di A. e B., dovrebbero essere perseguiti dalle autorità del Canton Giura in virtù degli art. 33 cpv. 2 e 34 cpv. 1 CPP. Avendo il Canton Giura intrapreso i primi atti di perseguimento nei confronti di A. nell’ambito del procedimento giurassiano, esso sarebbe competente per perseguire entrambi i correi.</w:t>
      </w:r>
    </w:p>
    <w:p>
      <w:r>
        <w:rPr>
          <w:b/>
        </w:rPr>
        <w:t>E. 2.2</w:t>
      </w:r>
    </w:p>
    <w:p>
      <w:r>
        <w:t>Innanzitutto va rilevato che i reati oggetto di indagine davanti al MP/TI e al MP/JU risultano di medesima gravità (v. supra Fatti A.). Ciò posto, occorre verificare quale autorità è competente a perseguire, da un lato, i reati ascritti ad A. e, dall’altro, gli atti imputati a B.</w:t>
      </w:r>
    </w:p>
    <w:p>
      <w:r>
        <w:rPr>
          <w:b/>
        </w:rPr>
        <w:t>E. 2.2.1</w:t>
      </w:r>
    </w:p>
    <w:p>
      <w:r>
        <w:t>Per quanto concerne A., risulta dal dossier che egli è sospettato di aver com- messo atti penalmente perseguibili sia nel Canton Giura sia sul territorio tici- nese.</w:t>
      </w:r>
    </w:p>
    <w:p>
      <w:r>
        <w:rPr>
          <w:b/>
        </w:rPr>
        <w:t>E. 2.2.2</w:t>
      </w:r>
    </w:p>
    <w:p>
      <w:r>
        <w:t>Giusta l'art. 34 cpv. 1 CPP, se l'imputato ha commesso più reati in luoghi diversi, il perseguimento e il giudizio di tutti i reati competono alle autorità del luogo in cui è stato commesso il reato punibile con la pena più grave. Se per i diversi reati è comminata la stessa pena, sono competenti le autorità del luogo in cui sono stati compiuti i primi atti di perseguimento. È posta come condizione che l'autore sia perseguito simultaneamente nei Cantoni implicati (MOSER/SCHLAPBACH, Commentario basilese, 2a ediz. 2014, n. 6 ad art. 34 CPP e riferimenti citati; PIQUEREZ/MACALUSO, Procédure pénale suisse, 3a ediz. 2011, n. 376). Questo presupposto non è dato qualora un procedimento avviato in un Cantone si concluda (tramite sentenza, archiviazione, ecc.) prima dell'apertura del procedimento nell'altro Cantone coinvolto (MO-</w:t>
      </w:r>
    </w:p>
    <w:p>
      <w:r>
        <w:t>- 5 -</w:t>
      </w:r>
    </w:p>
    <w:p>
      <w:r>
        <w:t>SER/SCHLAPBACH, op. cit., n. 7 ad art. 34 CPP). Vi è perseguimento, indipen- dentemente dalle particolarità organizzative cantonali, non solo di fronte all'apertura formale dell’istruzione ma anche in caso di procedura investiga- tiva della polizia (ibidem). Nel caso concreto la competenza va pertanto determinata in funzione del luogo in cui sono stati compiuti i primi atti di perseguimento.</w:t>
      </w:r>
    </w:p>
    <w:p>
      <w:r>
        <w:rPr>
          <w:b/>
        </w:rPr>
        <w:t>E. 2.2.3</w:t>
      </w:r>
    </w:p>
    <w:p>
      <w:r>
        <w:t>Le autorità giurassiane non contestano questo ragionamento, anzi dichia- rano espressamente di assumere il perseguimento, in virtù dell’art. 34 cpv. 1 seconda frase CPP, dei reati ascritti ad A. dalle autorità ticinesi. Per contro, rifiutano l’assunzione del procedimento avviato a carico di B.</w:t>
      </w:r>
    </w:p>
    <w:p>
      <w:r>
        <w:rPr>
          <w:b/>
        </w:rPr>
        <w:t>E. 2.2.4</w:t>
      </w:r>
    </w:p>
    <w:p>
      <w:r>
        <w:t>Per quanto concerne quest’ultimo, applicabile è l'art. 33 cpv. 2 CPP, secondo cui se il reato è stato commesso da più autori, sono competenti le autorità del luogo in cui sono stati compiuti i primi atti di perseguimento. Il principio del forum praeventionis ha tuttavia carattere sussidiario rispetto all'art. 34 cpv. 1 prima frase CPP (v. decisione del Tribunale penale federale BG.2015.7 dell’8 maggio 2015 consid. 2.3.5).</w:t>
      </w:r>
    </w:p>
    <w:p>
      <w:r>
        <w:rPr>
          <w:b/>
        </w:rPr>
        <w:t>E. 2.2.5</w:t>
      </w:r>
    </w:p>
    <w:p>
      <w:r>
        <w:t>Nel caso concreto, trovando applicazione l'art. 34 cpv. 1 seconda frase CPP e non la prima frase di detto articolo (v. supra consid. 2.2.2), il principio sta- bilito dall'art. 33 cpv. 2 CPP deve essere seguito. Questa Corte ha già giudi- cato che, nel caso in cui uno degli autori abbia compiuto altri reati oltre a quelli commessi in qualità di correo, puniti anch'essi con la medesima pena, la competenza va determinata per tutti gli autori in funzione del luogo in cui sono stati compiuti i primi atti di perseguimento. Ciò anche nell'eventualità in cui oggetto dei primi atti di perseguimento siano i reati commessi singolar- mente da uno dei successivi correi (decisione del Tribunale penale federale BG.2012.11 del 16 aprile 2012 consid. 2.1 e riferimenti citati; MO- SER/SCHLAPBACH, op. cit., n. 13 ad art. 33 CPP).</w:t>
      </w:r>
    </w:p>
    <w:p>
      <w:r>
        <w:rPr>
          <w:b/>
        </w:rPr>
        <w:t>E. 2.2.6</w:t>
      </w:r>
    </w:p>
    <w:p>
      <w:r>
        <w:t>Secondo costante giurisprudenza del Tribunale federale, è correo chi colla- bora con altri compartecipi intenzionalmente e in modo determinante nella decisione, pianificazione od esecuzione di un reato, così da apparirne come uno dei protagonisti; al proposito va tenuto conto, in particolare, dell'intensità della volontà delittuosa. Nella correità è presupposta, tra l'altro, una deci- sione comune circa la commissione del reato; ciò non significa tuttavia che tale decisione comune debba essere stata manifestata espressamente; è sufficiente che essa risulti da atti concludenti (DTF 120 IV 17 consid. 2d e riferimenti citati; 115 IV 161 consid. 2).</w:t>
      </w:r>
    </w:p>
    <w:p>
      <w:r>
        <w:t>- 6 -</w:t>
      </w:r>
    </w:p>
    <w:p>
      <w:r>
        <w:t>Nel caso concreto, risulta dagli atti che B. è perseguito dalle autorità ticinesi per reati commessi assieme ad A. in data 7 marzo 2020, poiché i profili DNA di entrambi gli imputati sono stati rinvenuti sul sasso utilizzato per infrangere uno dei vetri ed accedere alla proprietà in cui si è svolto il furto (v. act. 1.1), per cui la loro correità è pacifica.</w:t>
      </w:r>
    </w:p>
    <w:p>
      <w:r>
        <w:t>Ne discende che, dovendo B. e A. essere considerati correi nell'ambito di reati di medesima gravità e avendo le autorità giurassiane per prime com- piuto atti di perseguimento penale giusta l'art. 33 cpv. 2 CPP, queste ultime sono competenti a perseguire anche i fatti posti a carico di B. Da disattendere è la proposta del MP/JU di attendere l’interrogatorio di A. per avviare la pro- cedura di fissazione del foro. L’eventuale applicabilità dell’art. 139 n. 3 CP ai fatti occorsi in Ticino rimane infatti una mera ipotesi, neppure sostanziata dall’autorità giurassiana.</w:t>
      </w:r>
    </w:p>
    <w:p>
      <w:r>
        <w:rPr>
          <w:b/>
        </w:rPr>
        <w:t>E. 3</w:t>
      </w:r>
    </w:p>
    <w:p>
      <w:r>
        <w:t>Alla luce di tutto ciò, le autorità penali del Canton Giura vanno considerate competenti per il perseguimento dei reati oggetto della presente procedura.</w:t>
      </w:r>
    </w:p>
    <w:p>
      <w:r>
        <w:rPr>
          <w:b/>
        </w:rPr>
        <w:t>E. 4</w:t>
      </w:r>
    </w:p>
    <w:p>
      <w:r>
        <w:t>Per la presente decisione non vengono prelevate spese (art. 423 cpv. 1 CPP).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