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BG.2020.23 vom 16. Juli 2020</w:t>
      </w:r>
    </w:p>
    <w:p>
      <w:r>
        <w:t>Bundesstrafgericht, 2020-07-16, FR</w:t>
      </w:r>
    </w:p>
    <w:p>
      <w:r>
        <w:rPr>
          <w:b/>
        </w:rPr>
        <w:t xml:space="preserve">Quelle: </w:t>
      </w:r>
      <w:r>
        <w:t>https://mcp.opencaselaw.ch/entscheid/bstger_BG.2020.23</w:t>
      </w:r>
    </w:p>
    <w:p>
      <w:r>
        <w:t>FR: TPF BG.2020.23 du 16 juillet 2020</w:t>
      </w:r>
    </w:p>
    <w:p>
      <w:r>
        <w:t>IT: TPF BG.2020.23 del 16 luglio 2020</w:t>
      </w:r>
    </w:p>
    <w:p>
      <w:pPr>
        <w:pStyle w:val="Heading2"/>
      </w:pPr>
      <w:r>
        <w:t>Regeste</w:t>
      </w:r>
    </w:p>
    <w:p>
      <w:r>
        <w:t>Conflit du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préa- lable pour la saisine de la Cour des plaintes réside cependant en un échange de vues préalable entre les cantons concernés (décisions du Tribunal pénal</w:t>
      </w:r>
    </w:p>
    <w:p>
      <w:r>
        <w:t>- 4 -</w:t>
      </w:r>
    </w:p>
    <w:p>
      <w:r>
        <w:t>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 quérante invoque des circonstances exceptionnelles qu’il lui incombe de spécifier (TPF 2011 94 consid. 2.2; décision du Tribunal pénal fédéral BG.2017.17 du 18 juillet 2017 consid. 1.2 et les références citées; MOREIL- 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KUHN, Commentaire bâlois, 2e éd. 2014, n. 9 ad art. 39 CPP et n. 10 s. ad art. 40 CPP).</w:t>
      </w:r>
    </w:p>
    <w:p>
      <w:r>
        <w:rPr>
          <w:b/>
        </w:rPr>
        <w:t>E. 1.2</w:t>
      </w:r>
    </w:p>
    <w:p>
      <w:r>
        <w:t>L’échange de vues a été dûment mené à bien. Les ministères publics des cantons concernés sont légitimés à représenter leur canton dans des con- testations de for intercantonales en matière pénale et la requête en fixation de for a été présentée par l’un d’eux. Déposée le 30 juin 2020, soit dans les dix jours ayant suivi le dernier échange de vue, intervenu le 24 juin 2020, la requête en fixation de for est recevable et il y a lieu d’entrer en matière.</w:t>
      </w:r>
    </w:p>
    <w:p>
      <w:r>
        <w:rPr>
          <w:b/>
        </w:rPr>
        <w:t>E. 2.1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2.1.1</w:t>
      </w:r>
    </w:p>
    <w:p>
      <w:r>
        <w:t>À teneur de l’art. 31 al. 1 CPP, l’autorité du lieu où l’acte a été commis est compétente pour la poursuite et le jugement de l’infraction.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 trepris.</w:t>
      </w:r>
    </w:p>
    <w:p>
      <w:r>
        <w:t>- 5 -</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2e éd. 2014,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 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 tinente pour déterminer le for (décision du Tribunal pénal fédéral BG.2012.45 du 9 avril 2013 consid. 2.2 et les références citées).</w:t>
      </w:r>
    </w:p>
    <w:p>
      <w:r>
        <w:rPr>
          <w:b/>
        </w:rPr>
        <w:t>E. 2.2</w:t>
      </w:r>
    </w:p>
    <w:p>
      <w:r>
        <w:t>En l’espèce, il est reproché à A. d’avoir commis en Suisse 14 vols par effrac- tion entre 2014 et 2020 (1 en Argovie, 9 dans le canton de Vaud, 1 dans le canton de Berne et 3 dans celui de Fribourg; v. supra Faits, let. A à E). Il s’agit d’examiner le degré de gravité des différentes infractions entrant en ligne de compte.</w:t>
      </w:r>
    </w:p>
    <w:p>
      <w:r>
        <w:rPr>
          <w:b/>
        </w:rPr>
        <w:t>E. 2.3</w:t>
      </w:r>
    </w:p>
    <w:p>
      <w:r>
        <w:t>Des faits reprochés à A. dans chacune des procédures pénales cantonales ouvertes à son encontre (art. 139, 144 et 186 CP), ce sont ceux répondant à la qualification de vol qui sont passibles de la peine la plus grave, puisqu’il s’agit d’un crime, dans toutes ses variantes (art. 139 CP). Les infractions aux art. 144 et 186 CP sont des délits, exception faite du cas où le dommage à la propriété a engendré un dommage considérable (art. 144 al. 3 CP). En l’espèce, les montants des dommages à la propriété reprochés étant en l’état, dans la plupart des cas, indéterminés (dossier fribourgeois, pièces 2’011 ss et 2’300 ss et dossier argovien Verfahrensleitende Akten), l’aggra- vante de l’art. 144 al. 3 CP ne peut être examinée (ATF 136 IV 117 con- sid. 4.3.1). Partant, seuls les faits potentiellement constitutifs de l’infraction à l’art. 139 CP entrent en ligne de compte pour la fixation du for.</w:t>
      </w:r>
    </w:p>
    <w:p>
      <w:r>
        <w:rPr>
          <w:b/>
        </w:rPr>
        <w:t>E. 3</w:t>
      </w:r>
    </w:p>
    <w:p>
      <w:r>
        <w:t>Se rend coupable de vol, celui qui, pour se procurer ou procurer à un tiers un enrichissement illégitime, aura soustrait une chose mobilière appartenant à autrui dans le but de se l’approprier. La peine encourue est une peine pri- vative de liberté de cinq ans au plus ou une peine pécuniaire (art. 139 ch. 1 CP). Si l'auteur a agi en qualité d'affilié à une bande formée pour commettre des brigandages ou des vols, le vol sera puni d'une peine privative de liberté</w:t>
      </w:r>
    </w:p>
    <w:p>
      <w:r>
        <w:t>- 6 -</w:t>
      </w:r>
    </w:p>
    <w:p>
      <w:r>
        <w:t>de dix ans au plus ou d'une peine pécuniaire de 180 jours-amende au moins (art. 139 ch. 3 al. 2 CP). Selon la jurisprudence, l'affiliation à une bande est réalisée lorsque deux ou plusieurs auteurs manifestent, expressément ou par actes concluants, la vo- lonté de s'associer en vue de commettre un nombre déterminé ou non d'infractions. Cette qualification repose sur la dangerosité particulière qu'en- gendre l'association des auteurs, qui les renforce physiquement et psychi- quement et laisse prévoir la commission d'une pluralité d'infractions (ATF 135 IV 158 consid. 2 p. 158; 132 IV 132 consid. 5.2 p. 137; arrêt du Tribunal fédéral 6B_1145/2016 du 7 avril 2017 consid. 1.3). La notion de bande suppose un degré minimum d'organisation (p. ex. un partage des rôles et du travail) et une collaboration d'une intensité suffisante pour être à même de parler d'une équipe relativement stable et soudée, même si elle peut être éphémère (ibid.; arrêt du Tribunal fédéral 6B_1015/2017 du 27 oc- tobre 2017 consid. 5.3). Du point de vue subjectif, il suffit que l'auteur con- naisse et veuille les circonstances de fait qui correspondent à la définition de la bande (arrêt du Tribunal fédéral 6B_861/2009 du 18 février 2010 con- sid. 3.1 et références citées; ATF 124 IV 286 consid. 2a p. 293 s.; 124 IV 86 consid. 2b p. 89). Il n'est pas nécessaire que chaque individu participe aux infractions de la bande. Même l'auteur d'un vol agissant seul opère en bande, à condition qu'il le fasse dans l'exercice de la tâche assignée au sein de la bande (arrêt du Tribunal fédéral 6B_1145/2016 du 7 avril 2017 consid. 1.3 et auteurs cités).</w:t>
      </w:r>
    </w:p>
    <w:p>
      <w:r>
        <w:rPr>
          <w:b/>
        </w:rPr>
        <w:t>E. 3.1</w:t>
      </w:r>
    </w:p>
    <w:p>
      <w:r>
        <w:t>Selon les dossiers en main de la Cour de céans, avant le 4 février 2020, aucun élément n’indiquait de participation de tiers aux actes reprochés à A. Le 4 février 2020, vers 15 heures, A. a été interpellé dans le canton de Fri- bourg, en compagnie de C., alors que tous deux écoutaient aux portes d’ap- partements dans un immeuble, à Y. (FR). Le premier était en possession d’un tournevis et de gants, le second de deux tournevis, d’un pied de biche, d’une clé anglaise et de gants. La fouille du véhicule appartenant à C. re- trouvé le lendemain, à Y., a révélé la présence d’une quarantaine de bijoux, dissimulés dans une chaussette, dans le compartiment sous le frein à main. Ils provenaient de deux vols par effraction commis le 4 février 2020, avant 14 heures 15, dans le même immeuble à X., dans le canton de Fribourg. A. a admis être l’auteur de ces deux vols, déclarant avoir agi seul. Des em- preintes de semelles correspondant à celles des chaussures qu’il portait ont été retrouvées sur les lieux. C. a nié toute participation à ces deux vols, sans pouvoir expliquer la présence des bijoux dans sa voiture. Les intéressés se sont rendus, puis déplacés en Suisse ensemble, dans la voiture de C. (dos- sier fribourgeois, pièces 2’020 ss).</w:t>
      </w:r>
    </w:p>
    <w:p>
      <w:r>
        <w:t>- 7 -</w:t>
      </w:r>
    </w:p>
    <w:p>
      <w:r>
        <w:rPr>
          <w:b/>
        </w:rPr>
        <w:t>E. 3.2.1</w:t>
      </w:r>
    </w:p>
    <w:p>
      <w:r>
        <w:t>Le MP-FR estime que les autorités pénales argoviennes, qui ont entrepris les premiers actes de poursuite, en 2014, – et qui ont déjà, à deux reprises, accepté leur compétence s’agissant des faits reprochés commis sur sol vau- dois – sont compétentes pour connaître de l’ensemble des infractions repro- chées à A., en application de l’art. 34 al. 1, 2e phrase CP, les faits instruits dans les cantons de Fribourg et Berne étant de même gravité (art. 139 ch. 1 CP). Malgré les circonstances de l’interpellation, l’aggravante de la bande ne peut être retenue à l’encontre de A. pour les faits du 4 février 2020, vu ses déclarations et celles de C. (v. supra consid. 3.1). Les deux individus étaient de simples connaissances. En outre, l’enquête n’a pas permis d’établir que A. et C. seraient venus en Suisse ensemble à d’autres reprises. On ne dis- tingue aucune structure entre eux de nature à démontrer qu’ils auraient cons- titué une équipe relativement stable et soudée et qu’ils auraient développé une collaboration particulière dans la préparation et la réalisation des infrac- tions ou encore dans le partage des rôles et du travail (act. 1).</w:t>
      </w:r>
    </w:p>
    <w:p>
      <w:r>
        <w:rPr>
          <w:b/>
        </w:rPr>
        <w:t>E. 3.2.2</w:t>
      </w:r>
    </w:p>
    <w:p>
      <w:r>
        <w:t>De l’avis du MP-AG, les autorités fribourgeoises sont compétentes, selon l’art. 34 al. 1, 1ère phrase CP, dans la mesure où, du principe in dubio pro duriore, il ne peut être d’emblée exclu que A. et C. aient agi en bande, en application de l’art. 139 ch. 3 al. 2 CP, pour les actes perpétrés dans le can- ton de Fribourg le 4 février 2020. A. et C. ont tous deux été interpellés en possession d’outils de cambriolages, en pleine tentative de vol. Le butin de deux autres cambriolages perpétrés le même jour a été retrouvé dans la voi- ture de C. Leurs déclarations respectives sont au demeurant sans impor- tance. Quant au cas argovien, il constitue un acte isolé dans le temps, sans indice de participation de tiers, réalisant les éléments constitutifs du vol simple au sens de l’art. 139 ch. 1 CP (act. 3).</w:t>
      </w:r>
    </w:p>
    <w:p>
      <w:r>
        <w:rPr>
          <w:b/>
        </w:rPr>
        <w:t>E. 3.2.3</w:t>
      </w:r>
    </w:p>
    <w:p>
      <w:r>
        <w:t>Le MP-VD, pour sa part, estime que, si le vol en bande devait être admis, les autorités fribourgeoises seraient compétentes, en application de l’art. 34 al. 1, 1ère phrase CP, alors que dans le cas contraire, les autorités argo- viennes le seraient, en application de l’art. 34 al. 1, 2e phrase CP. Dans les cas perpétrés sur sol vaudois, aucun élément au dossier ne permet de sup- poser que A. ait agi avec l’aide d’un ou plusieurs complices (act. 4).</w:t>
      </w:r>
    </w:p>
    <w:p>
      <w:r>
        <w:rPr>
          <w:b/>
        </w:rPr>
        <w:t>E. 3.3</w:t>
      </w:r>
    </w:p>
    <w:p>
      <w:r>
        <w:t>Différents éléments du dossier soumis à la Cour de céans permettent effec- tivement d’appréhender les actes perpétrés sur sol fribourgeois, le 4 février 2020, sous l’angle de la bande, selon l’art. 139 ch. 3 al. 2 CP, quand bien même cette qualification n’a pas été retenue par le MP-FR. Le butin prove- nant des deux appartements cambriolés par A., ainsi qu’il l’a admis, à X. a été retrouvé dissimulé dans le compartiment situé sous le frein à main de la voiture de C., utilisée par les intéressés pour se déplacer ensemble jusqu’à</w:t>
      </w:r>
    </w:p>
    <w:p>
      <w:r>
        <w:t>- 8 -</w:t>
      </w:r>
    </w:p>
    <w:p>
      <w:r>
        <w:t>Y., entre 14 heures 15, au plus tard, et 15 heures. A. et C. ont été interpellés ensemble, alors qu’ils écoutaient aux portes d’appartements d’un immeuble dans lequel ils avaient pénétré, à Y. Tous deux étaient en possession de matériel caractéristique de cambrioleurs. Par ailleurs, des traces, celles, no- tamment d’ADN, pouvant être reliées à C. ont été mises en évidence en 2019 sur les lieux de quatre vols par effraction perpétrés à Y., dans la rue où se situe l’immeuble dans lequel ils ont été interpellés, le 4 février 2020, ainsi qu’à X., pour l’un, dans la même rue que celle de l’immeuble des deux cam- briolages du 4 février 2020. Dans un des cas précités de Y., C. a admis sa présence sur les lieux, pour faire le guet (dossier fribourgeois, pièces 2'105 à 2’107). Le fait que A. ait déclaré avoir agi seul à X. – corroboré par les empreintes des semelles correspondant à celles des chaussures qu’il portait retrouvées sur les lieux – ne permet pas encore d’exclure la bande, le par- tage des rôles constituant précisément un critère de cette qualification (v. ég. supra consid. 3 in fine). Il en va de même du fait qu’il s’agirait de l’unique déplacement en Suisse de A. et C. ensemble, la bande pouvant n’être cons- tituée que de manière éphémère. Quant à la nature peu étroite des relations personnelles entre les deux intéressés, alléguée par le MP-FR, il n’apparaît pas qu’elle empêcherait leur association, en tant qu’équipe, dans la perpé- tration d’infractions en bande.</w:t>
      </w:r>
    </w:p>
    <w:p>
      <w:r>
        <w:rPr>
          <w:b/>
        </w:rPr>
        <w:t>E. 3.4</w:t>
      </w:r>
    </w:p>
    <w:p>
      <w:r>
        <w:t>En l’état du dossier fribourgeois, la qualification de bande, au sens de l’art. 139 ch. 3 al. 2 CP, ne peut être clairement exclue s’agissant des agis- sements reprochés à A. le 4 février 2020. En ce qui concerne les actes per- pétrés dans les cantons d’Argovie, Vaud et Berne, aucun élément aux dos- siers ne permet en revanche de retenir que A. aurait agi en bande. Partant, en application du principe in dubio pro duriore, il y lieu de retenir que l’infrac- tion punie de la peine la plus grave (art. 34 al. 1 1ère phrase CPP) est celle de vol en bande, commise dans le canton de Fribourg.</w:t>
      </w:r>
    </w:p>
    <w:p>
      <w:r>
        <w:rPr>
          <w:b/>
        </w:rPr>
        <w:t>E. 4</w:t>
      </w:r>
    </w:p>
    <w:p>
      <w:r>
        <w:t>La Cour de céans ne voit pas de motif de déroger au for spécial de l’art. 34 al. 1, 1ère phrase CPP, en application de l’art. 40 al. 3 CPP – pareille solution devant demeurer l’exception –, au profit des autorités pénales du canton de Vaud, dans la mesure où les neuf cas survenus dans ce canton s’élèvent à moins des deux tiers des 14 cas pour lesquels A. est, à ce jour, mis en pré- vention (ATF 129 IV 202 consid. 2 et 3).</w:t>
      </w:r>
    </w:p>
    <w:p>
      <w:r>
        <w:t>- 9 -</w:t>
      </w:r>
    </w:p>
    <w:p>
      <w:r>
        <w:rPr>
          <w:b/>
        </w:rPr>
        <w:t>E. 5</w:t>
      </w:r>
    </w:p>
    <w:p>
      <w:r>
        <w:t>Au vu des éléments qui précèdent, il sied de reconnaître la compétence des autorités pénales du canton de Fribourg, conformément à l’art. 34 al. 1, 1ère phrase CPP. Partant, la requête formée par le MP-FR le 30 juin 2020 est rejetée et il convient d’enjoindre aux autorités pénales fribourgeoises de poursuivre et de juger les infractions reprochées à A.</w:t>
      </w:r>
    </w:p>
    <w:p>
      <w:r>
        <w:rPr>
          <w:b/>
        </w:rPr>
        <w:t>E. 6</w:t>
      </w:r>
    </w:p>
    <w:p>
      <w:r>
        <w:t>La présente décision est rendue sans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