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BG.2020.22 vom 21. Oktober 2020</w:t>
      </w:r>
    </w:p>
    <w:p>
      <w:r>
        <w:t>Bundesstrafgericht, 2020-10-21, FR</w:t>
      </w:r>
    </w:p>
    <w:p>
      <w:r>
        <w:rPr>
          <w:b/>
        </w:rPr>
        <w:t xml:space="preserve">Quelle: </w:t>
      </w:r>
      <w:r>
        <w:t>https://mcp.opencaselaw.ch/entscheid/bstger_BG.2020.22</w:t>
      </w:r>
    </w:p>
    <w:p>
      <w:r>
        <w:t>FR: TPF BG.2020.22 du 21 octobre 2020</w:t>
      </w:r>
    </w:p>
    <w:p>
      <w:r>
        <w:t>IT: TPF BG.2020.22 del 21 ottobre 2020</w:t>
      </w:r>
    </w:p>
    <w:p>
      <w:pPr>
        <w:pStyle w:val="Heading2"/>
      </w:pPr>
      <w:r>
        <w:t>Regeste</w:t>
      </w:r>
    </w:p>
    <w:p>
      <w:r>
        <w:t>Compétence ratione materiae (art. 28 CPP).</w:t>
      </w:r>
    </w:p>
    <w:p>
      <w:pPr>
        <w:pStyle w:val="Heading2"/>
      </w:pPr>
      <w:r>
        <w:t>Erwägungen</w:t>
      </w:r>
    </w:p>
    <w:p>
      <w:r>
        <w:rPr>
          <w:b/>
        </w:rPr>
        <w:t>E. 1.1</w:t>
      </w:r>
    </w:p>
    <w:p>
      <w:r>
        <w:t>La Cour des plaintes du Tribunal pénal fédéral connaît des litiges relatifs aux conflits de compétence entre le MPC et les autorités cantonales de poursuite pénale (art. 28 du Code de procédure pénale suisse du 5 octobre 2007 [CPP; RS 312.0], en lien avec l’art. 37 al. 1 de la loi fédérale sur l’organisation des autorités pénales de la Confédération ([LOAP; RS 173.71]). En pareil cas, la Cour de céans statue selon les règles que la loi et la jurisprudence ont fixées pour la résolution des conflits de for intercantonaux (SCHWERI/BÄNZIGER, Interkantonale Gerichtsstandsbestimmung in Strafsachen, 2e éd. 2004, n. 419 et le renvoi à l’ATF 128 IV 225 consid. 2.3; v. également TPF 2011 170 consid. 1.1 et décision du Tribunal pénal fédéral BG.2009.20 du 28 sep- tembre 2009 consid. 1.1). La saisine de la Cour des plaintes présuppose qu’existe une contestation relative à la compétence pour connaître d’une af- faire, d’une part, et que les parties aient procédé à un échange de vues à ce propos, d’autre part (SCHWERI/BÄNZIGER, op. cit., n. 561 et 599; GUIDON/BÄ- NZIGER, Die aktuelle Rechtsprechung des Bundesstrafgerichts zum interkan- tonalen Gerichsstand in Strafsachen, in Jusletter du 2 mai 2007 [n. 4]).</w:t>
      </w:r>
    </w:p>
    <w:p>
      <w:r>
        <w:t>- 4 -</w:t>
      </w:r>
    </w:p>
    <w:p>
      <w:r>
        <w:t>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(décision du Tribunal pénal fédéral BG.2015.42 du 12 mai 2016 consid. 1.1 et les références ci- tées). Les autorités habilitées à représenter leur canton dans le cadre de l’échange de vues, puis durant la procédure devant l’autorité de céans, sont déterminées par le droit de procédure propre à chaque canton (art. 14 al. 4 CPP).</w:t>
      </w:r>
    </w:p>
    <w:p>
      <w:r>
        <w:rPr>
          <w:b/>
        </w:rPr>
        <w:t>E. 1.2</w:t>
      </w:r>
    </w:p>
    <w:p>
      <w:r>
        <w:t>L’échange de vues a été mené à bien, par des autorités légitimées à repré- senter les parties. La demande de fixation de compétence matérielle a été déposée par le MPC le 24 juin 2020, dans le respect du délai pour ce faire, le refus du MP-VD, interpelé en dernier lieu, étant parvenu à la requérante le 23 juin 2020. La requête en fixation de for est recevable et il y a lieu d’en- trer en matière.</w:t>
      </w:r>
    </w:p>
    <w:p>
      <w:r>
        <w:rPr>
          <w:b/>
        </w:rPr>
        <w:t>E. 2.1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"positives" (HAU- SER/SCHWERI/HARTMANN, Schweizerisches Strafprozessrecht, 6e éd. 2005, p. 179 n. 13 ss). Ces conditions doivent être examinées d'office, à chaque stade de la procédure (KIPFER, Commentaire bâlois, 2e éd. 2014, n. 5 ad Intro art. 22-28 CPP). La délimitation des compétences entre cantons et Con- 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 ceptions figurent aux art. 23 et 24 CPP.</w:t>
      </w:r>
    </w:p>
    <w:p>
      <w:r>
        <w:rPr>
          <w:b/>
        </w:rPr>
        <w:t>E. 2.2</w:t>
      </w:r>
    </w:p>
    <w:p>
      <w:r>
        <w:t>A teneur de l’art. 24 al. 1 CPP, sont notamment soumises à la juridiction fédérale les infractions à l’art. 305bis du Code pénal suisse du 21 décembre 1937 (CP; RS 311.0) lorsque les actes punissables ont été commis pour une part prépondérante (en allemand: « für einen wesentlichen Teil »; en italien: « prevalentemente ») à l’étranger, ou dans plusieurs cantons, sans qu’il y ait de prédominance évidente dans l’un d’entre eux. L’art. 24 CPP reprend, sans modification majeure, le contenu de l’art. 337 aCP, lequel avait remplacé l’art. 340bis aCP, de sorte que la jurisprudence et la doctrine relatives à ces dispositions conservent toute leur valeur. Les compétences de la Confédé- ration en lien avec ces infractions ont pour prémisse la volonté du législateur</w:t>
      </w:r>
    </w:p>
    <w:p>
      <w:r>
        <w:t>- 5 -</w:t>
      </w:r>
    </w:p>
    <w:p>
      <w:r>
        <w:t>d’améliorer la lutte contre la criminalité internationale (BOUVERAT, Commen- taire romand, 2e éd. 2019, n. 1 et 2 ad art. 24 CPP). La question de savoir si l’infraction a été commise pour une part prépondérante à l’étranger se résout en termes qualitatifs et non quantitatifs. Tel sera le cas, lorsque la compo- sante étrangère de l’infraction atteint une « masse critique » telle que les nouveaux moyens d'enquête mis à disposition de la Confédération apparais- sent mieux adaptés que les moyens cantonaux pour assurer une répression efficace du crime (ATF 130 IV 68 consid. 2.2 in fine). En matière de blanchi- ment d’argent, ce sont les actes de blanchiment eux-mêmes – et non pas les crimes préalables – qui doivent avoir été essentiellement commis à l’étranger (arrêt du Tribunal fédéral 8G.5/2004 du 23 mars 2004 consid. 2.4, non publié in ATF 130 IV 68, traduit au SJ 2004 I 381; TPF 2007 165 consid. 1.1).</w:t>
      </w:r>
    </w:p>
    <w:p>
      <w:r>
        <w:rPr>
          <w:b/>
        </w:rPr>
        <w:t>E. 2.3</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 consid. 4.4). Les règles prévalant à la fixation du for s’appliquent par analogie (v. infra consid. 3.1.2).</w:t>
      </w:r>
    </w:p>
    <w:p>
      <w:r>
        <w:rPr>
          <w:b/>
        </w:rPr>
        <w:t>E. 2.4</w:t>
      </w:r>
    </w:p>
    <w:p>
      <w:r>
        <w:t>Du dossier en main de la Cour de céans, soit des différents états de faits décrits dans la plainte du 23 septembre 2019, seuls les actes de blanchiment d’argent sont susceptibles de fonder une compétence fédérale. Les plai- gnants reprochent à C. d’avoir, depuis l’Amérique, entre 2014 et 2016, trans- féré en Suisse USD 194'500, provenant du patrimoine que A. avait placé sous la gestion de son frère C. aux Etats-Unis et que celui-ci aurait, usant de divers stratagèmes, détourné à son profit. Sur cette somme, USD 158'500 auraient été versés, notamment par transfert depuis un compte bancaire américain en faveur de l’avocat de C., à Genève et USD 36’000 à son ex- belle-sœur, alors résidente à Z., dans le canton de Vaud. Tous deux auraient accepté et utilisé cet argent, en toute connaissance de sa provenance, se livrant avec C. à du blanchiment d’argent (act. 1.1, plainte pénale, not. ch. 8.2.3 à 8.3.2 et annexes citées).</w:t>
      </w:r>
    </w:p>
    <w:p>
      <w:r>
        <w:rPr>
          <w:b/>
        </w:rPr>
        <w:t>E. 2.5</w:t>
      </w:r>
    </w:p>
    <w:p>
      <w:r>
        <w:t>De l’avis du MPC, dans la mesure où les actes de blanchiment auraient été commis en Suisse, par le paiement d’honoraires à un avocat à Genève, les conditions de l’art. 24 al. 1 CPP ne sont manifestement pas remplies (act. 1).</w:t>
      </w:r>
    </w:p>
    <w:p>
      <w:r>
        <w:rPr>
          <w:b/>
        </w:rPr>
        <w:t>E. 2.6</w:t>
      </w:r>
    </w:p>
    <w:p>
      <w:r>
        <w:t>En l’état, les transferts de fonds d’origine potentiellement criminelle, suscep- tibles d’être qualifiés de blanchiment d’argent, ne revêtent pas à un caractère international prépondérant évident justifiant la compétence fédérale, au sens de la jurisprudence précitée relative à l’art. 24 al. 1 let. a CPP (v. supra con- sid. 2.2). Quant à l’aspect intercantonal, selon l’art. 24 al. 1 let. b CPP, à ce</w:t>
      </w:r>
    </w:p>
    <w:p>
      <w:r>
        <w:t>- 6 -</w:t>
      </w:r>
    </w:p>
    <w:p>
      <w:r>
        <w:t>stade, les actes de blanchiment d’argent imputés à l’avocat et à l’ex-belle- sœur de C. semblent avoir eu lieu de manière prédominante sur sol gene- vois, au vu des montants concernés. Ce d’autant qu’il n’est pas précisé si l’argent versé à l’ex-belle-sœur de C. l’a été dans le canton de Vaud, où elle résidait.</w:t>
      </w:r>
    </w:p>
    <w:p>
      <w:r>
        <w:rPr>
          <w:b/>
        </w:rPr>
        <w:t>E. 2.7</w:t>
      </w:r>
    </w:p>
    <w:p>
      <w:r>
        <w:t>Au vu de ce qui précède, les conditions de l’art. 24 al. 1 CPP ne sont pas réalisées. À défaut d’exception fondant une compétence fédérale, l’affaire ressortit à la juridiction cantonale (art. 22 CPP).</w:t>
      </w:r>
    </w:p>
    <w:p>
      <w:r>
        <w:rPr>
          <w:b/>
        </w:rPr>
        <w:t>E. 3</w:t>
      </w:r>
    </w:p>
    <w:p>
      <w:r>
        <w:t>En procédure pénale, les fors sont réglés aux art. 31 à 42 CPP. La lex gene- ralis des fors se trouve aux art. 31 et 32 CPP, alors que les fors spéciaux sont réglés aux art. 33 à 38 CPP. Les art. 39 à 42 CPP traitent de la procé- dure visant à déterminer les fors. 3.1.1 À teneur de l’art. 31 al. 1 CPP, l’autorité du lieu où l’acte a été commis est compétente pour la poursuite et le jugement de l’infraction. Si le lieu où le résultat s’est produit est seul situé en Suisse, l’autorité compétente est celle de ce lieu. Si l’infraction a été commise à l’étranger (et ressortit à la juridiction suisse, en application des art. 4 à 7 CP) ou s’il n’est pas possible de déter- miner en quel lieu elle a été commise, l’autorité compétente pour la poursuite et le jugement est celle du lieu où le prévenu a son domicile ou sa résidence habituelle ou, à défaut, son lieu d’origine (art. 32 al. 1 et 2, 1ère phrase, CPP). Les participants à une infraction sont poursuivis et jugés par l’autorité qui poursuit et juge l’auteur (art. 33 al. 1 CPP). Selon l’art. 34 al. 1 CPP, lorsque le prévenu a commis plusieurs infractions en des lieux différents, l’autorité du lieu où a été commise l’infraction punie de la peine la plus grave est com- pétente pour la poursuite et le jugement de toutes les infractions. Si plusieurs infractions sont punies de la même peine, l’autorité compétente est celle du lieu où les premiers actes de poursuite ont été entrepris. 3.1.2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 pose ainsi pas sur ce dont l’intéressé s’est effectivement rendu coupable et qui pourra en fin de compte être prouvé mais sur l’état de fait qui lui est re- proché dans le cadre de l’enquête en cours, à moins que cet état de fait ne paraisse d’emblée infondé ou ne soit clairement exclu (décision du Tribunal pénal fédéral BG.2012.16 du 15 juin 2012 consid. 3.2). La Cour de céans se</w:t>
      </w:r>
    </w:p>
    <w:p>
      <w:r>
        <w:t>- 7 -</w:t>
      </w:r>
    </w:p>
    <w:p>
      <w:r>
        <w:t>fonde sur des faits et non sur des hypothèses. Le principe in dubio pro du- 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3.2</w:t>
      </w:r>
    </w:p>
    <w:p>
      <w:r>
        <w:t>Dans leurs déterminations, les parties s’accordent sur le fait que, de toutes les infractions dénoncées par les plaignants, la plus grave est la tentative de meurtre ayant eu lieu en Valais, soit l’empoisonnement de A. par son frère C., au moyen de gélules régulièrement administrées par leur mère, entre mi- août et fin septembre 2012, à Y. Le MP-VS nie toutefois sa compétence, à défaut d’état de faits suffisant permettant de retenir l’infraction en question, en particulier de lien de causalité entre les problèmes de santé de A. décrits dans la plainte et la prise de gélules, que rien ne relie à C. Les MPC, MP-GE et MP-VD estiment, quant à eux, que les motifs allégués par le MP-VS ont trait au fond de l’affaire et sont sans pertinence pour la détermination du for. De l’avis des MP-GE et MP-VD, le MP-VS est compétent pour poursuivre et juger les infractions dénoncées dans la plainte (act. 1, 1.3, 4, 5 et 6).</w:t>
      </w:r>
    </w:p>
    <w:p>
      <w:r>
        <w:rPr>
          <w:b/>
        </w:rPr>
        <w:t>E. 3.3</w:t>
      </w:r>
    </w:p>
    <w:p>
      <w:r>
        <w:t>Au vu des éléments en main de la Cour de céans, l’épisode de l’empoison- nement à Y., tel que relaté dans la plainte du 23 septembre 2019, est sus- ceptible de réaliser les éléments constitutifs de la tentative de meurtre (art. 111, en lien avec l’art. 22 CP). Il en va d’un crime, passible d’une peine privative de liberté de cinq ans au moins, soit de l’infraction la plus grave, dans le cas d’espèce (v. supra Faits, let. A). À ce stade, sur la base des soupçons actuels, cette qualification ne peut être clairement exclue à l’en- contre de C., sans instruction ultérieure, ce que démontrent les développe- ments auxquels s’est livré le MP-VS, notamment s’agissant des possibilités d’empoisonnement, dans ses déterminations des 29 janvier et 9 juillet 2020 (act. 1.3 et 6).</w:t>
      </w:r>
    </w:p>
    <w:p>
      <w:r>
        <w:rPr>
          <w:b/>
        </w:rPr>
        <w:t>E. 3.4</w:t>
      </w:r>
    </w:p>
    <w:p>
      <w:r>
        <w:t>Partant, il y lieu d’admettre, avec les parties, que l’infraction punie de la peine la plus grave (art. 34 al. 1, 1ère phrase CPP) a été commise dans le canton du Valais.</w:t>
      </w:r>
    </w:p>
    <w:p>
      <w:r>
        <w:rPr>
          <w:b/>
        </w:rPr>
        <w:t>E. 4</w:t>
      </w:r>
    </w:p>
    <w:p>
      <w:r>
        <w:t>Au vu des éléments qui précèdent, conformément à l’art. 34 al. 1, 1ère phrase CPP, la Cour de céans reconnaît la compétence des autorités pénales du canton du Valais et leur enjoint de poursuivre et de juger les infractions dé- noncées dans la plainte du 23 septembre 2019.</w:t>
      </w:r>
    </w:p>
    <w:p>
      <w:r>
        <w:rPr>
          <w:b/>
        </w:rPr>
        <w:t>E. 5</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