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BG.2020.20 vom 7. Juli 2020</w:t>
      </w:r>
    </w:p>
    <w:p>
      <w:r>
        <w:t>Bundesstrafgericht, 2020-07-07, IT</w:t>
      </w:r>
    </w:p>
    <w:p>
      <w:r>
        <w:rPr>
          <w:b/>
        </w:rPr>
        <w:t xml:space="preserve">Quelle: </w:t>
      </w:r>
      <w:r>
        <w:t>https://mcp.opencaselaw.ch/entscheid/bstger_BG.2020.20</w:t>
      </w:r>
    </w:p>
    <w:p>
      <w:r>
        <w:t>FR: TPF BG.2020.20 du 7 juillet 2020</w:t>
      </w:r>
    </w:p>
    <w:p>
      <w:r>
        <w:t>IT: TPF BG.2020.20 del 7 luglio 2020</w:t>
      </w:r>
    </w:p>
    <w:p>
      <w:pPr>
        <w:pStyle w:val="Heading2"/>
      </w:pPr>
      <w:r>
        <w:t>Regeste</w:t>
      </w:r>
    </w:p>
    <w:p>
      <w:r>
        <w:t>Conflitti in materia di foro (art. 40 cpv. 2 CPP).</w:t>
      </w:r>
    </w:p>
    <w:p>
      <w:pPr>
        <w:pStyle w:val="Heading2"/>
      </w:pPr>
      <w:r>
        <w:t>Erwägungen</w:t>
      </w:r>
    </w:p>
    <w:p>
      <w:r>
        <w:rPr>
          <w:b/>
        </w:rPr>
        <w:t>E. 1.1</w:t>
      </w:r>
    </w:p>
    <w:p>
      <w:r>
        <w:t>Le autorità penali esaminano d'ufficio la loro competenza e, se necessario, rimettono il caso all'autorità competente (art. 39 cpv. 1 CPP). Se più autorità penali risultano competenti per territorio, i pubblici ministeri interessati si co- municano senza indugio gli elementi essenziali del caso e si adoperano per raggiungere un'intesa il più rapidamente possibile (art. 39 cpv. 2 CPP). Se le autorità di perseguimento penale di più Cantoni non riescono ad accordarsi sul foro competente, il pubblico ministero del Cantone che per primo si è occupato della causa sottopone senza indugio, in ogni caso prima della pro- mozione dell'accusa, la questione al Tribunale penale federale affinché de- cida (art. 40 cpv. 2 CPP combinato con l'art. 37 cpv. 1 della legge federale del 19 marzo 2010 sull'organizzazione delle autorità penali della Confedera- zione [LOAP; RS 173.71]). La norma sembra limitare la legittimazione per adire il Tribunale penale federale al Cantone che per primo si è occupato del</w:t>
      </w:r>
    </w:p>
    <w:p>
      <w:r>
        <w:t>- 4 -</w:t>
      </w:r>
    </w:p>
    <w:p>
      <w:r>
        <w:t>caso, ma così non è. Innanzitutto non è sempre possibile determinare la cro- nologia dei vari passi intrapresi a livello cantonale, inoltre, i principi di celerità e di economia procedurale richiedono che venga riconosciuta la legittimità per agire a tutti i ministeri pubblici interessati (BOUVERAT, Commentario ro- mando, 2a ediz. 2019, n. 3 ad art. 40 CPP). Riguardo al termine per sotto- porre la vertenza alla scrivente autorità, quest'ultima considera applicabile il termine di 10 giorni previsto dall'art. 396 cpv. 1 CPP, dal quale l'autorità ri- chiedente può scostarsi unicamente in circostanze eccezionali che essa è tenuta a specificare (v. segnatamente TPF 2011 94 consid. 2.2). La determi- nazione dell'autorità legittimata a rappresentare il proprio Cantone nell'am- bito dello scambio di vedute o durante la procedura dinnanzi alla Corte dei reclami penali è retta dalle legislazioni cantonali (art. 14 cpv. 4 CPP; KUHN, Commentario basilese, 2a ediz. 2014, n. 9 ad art. 39 e n. 10 ad art. 40 CPP; SCHMID/JOSITSCH, Handbuch des schweizerischen Strafprozessrechts, 3a e- diz. 2017, n. 488; GALLIANI/MARCELLINI, Commentario CPP, 2010, n. 5 ad art. 40 CPP). Al fine di evitare inutili scambi di corrispondenza e ritardi nel procedimento, è auspicabile che siano le autorità competenti per rappresen- tare il procedimento anche di fronte al Tribunale penale federale a condurre le trattative (KUHN, Commentario basilese, 2a ediz. 2014, n. 10 ad art. 40). Non ci si può tuttavia aspettare dal Cantone che riceve una domanda di as- sunzione del procedimento che chiarisca in primo luogo se la domanda pro- viene o meno dall’autorità competente del Cantone richiedente. Nei rapporti giuridici intercantonali il destinatario della domanda deve piuttosto poter pre- sumere che le richieste provengano dall’autorità competente (decisione del Tribunale penale federale BG.2013.1 del 6 febbraio 2013 consid. 1.2).</w:t>
      </w:r>
    </w:p>
    <w:p>
      <w:r>
        <w:t>Condizione per adire la presente Corte è quindi che tutti i Cantoni coinvolti abbiano provveduto a formulare una loro presa di posizione mediante uno scambio di scritti. Nell'eventualità in cui tale scambio di scritti non abbia por- tato ad alcun esito, si concretizza un conflitto di foro che giustifica l'intervento della scrivente Corte (v. art. 40 cpv. 2 CPP; BOUVERAT, op. cit., n. 4 ad art. 39 CPP; SCHWERI/BÄNZIGER, Interkantonale Gerichtsstandsbestimmung in Strafsachen, 2a ediz. 2004, n. 569 e 599; FINGERHUTH/LIEBER, in: Donatsch/ Hansjakob/Lieber (ed.), Kommentar zur Schweizerischen Strafprozessord- nung, 2a ediz. 2014, n. 9 ad art. 40 CPP; GUIDON/BÄNZIGER, Die aktuelle Rechtsprechung des Bundesstrafgerichts zum interkantonalen Gerichts- stand in Strafsachen, Jusletter del 21 maggio 2007, n. 5). In assenza di uno scambio di scritti completo e validamente terminato, l'istanza di determina- zione del foro competente deve essere dichiarata irricevibile (decisioni del Tribunale penale federale BG.2014.31 del 21 gennaio 2015 consid. 1.2; BG.2012.31 del 23 agosto 2012 consid. 1.3; BG.2012.3 del 23 febbraio 2012</w:t>
      </w:r>
    </w:p>
    <w:p>
      <w:r>
        <w:t>- 5 -</w:t>
      </w:r>
    </w:p>
    <w:p>
      <w:r>
        <w:t>consid. 1 e 3.3; BG.2011.7 del 17 giugno 2011 consid. 1.2; BG.2009.4 del 9 marzo 2009; KUHN, op. cit., n. 16 ad art. 40 CPP).</w:t>
      </w:r>
    </w:p>
    <w:p>
      <w:r>
        <w:rPr>
          <w:b/>
        </w:rPr>
        <w:t>E. 1.2</w:t>
      </w:r>
    </w:p>
    <w:p>
      <w:r>
        <w:t>Riguardo alla competenza in ambito di conflitti di foro in seno alle autorità di perseguimento penale ticinesi, questa Corte ha già avuto modo di constatare che, giusta l'art. 67 cpv. 6 della legge cantonale del 10 maggio 2006 sull'or- ganizzazione giudiziaria (LOG; RL TI 177.100), la stessa spetta al procura- tore incaricato del procedimento (v. decisione del Tribunale penale federale BG.2013.16 del 18 luglio 2013 consid. 1.2). Per quanto attiene all’autorità competente del Canton Obvaldo, va rilevato che lo scambio di vedute non ha avuto luogo con l’autorità competente in materia, ossia l’Oberstaastanwalt des Kantons Obwalden (v. art. 44a cpv. 3 della «Gesetz über die Gerichtsor- ganisation» del Canton Obvaldo del 22 settembre 1996 [GBD/OW 134.1]), bensì con il MP/OW.</w:t>
      </w:r>
    </w:p>
    <w:p>
      <w:r>
        <w:rPr>
          <w:b/>
        </w:rPr>
        <w:t>E. 1.3</w:t>
      </w:r>
    </w:p>
    <w:p>
      <w:r>
        <w:t>Alla luce di ciò, e fintanto che le autorità designate come competenti dalle leggi cantonali nei casi di conflitti di foro non sono state consultate e non si sono espresse, non sussiste un conflitto di foro e non è pertanto possibile adire la Corte dei reclami penali (v. decisioni del Tribunale penale federale BG.2014.31 del 21 gennaio 2015 consid. 1.3; BG.2012.33 del 28 novembre 2012 consid. 1.3-1.5; BG.2010.16 del 14 settembre 2010 e BG.2008.13 del</w:t>
      </w:r>
    </w:p>
    <w:p>
      <w:r>
        <w:rPr>
          <w:b/>
        </w:rPr>
        <w:t>E. 1.4</w:t>
      </w:r>
    </w:p>
    <w:p>
      <w:r>
        <w:t>Visto quanto sopra, l’istanza di determinazione del foro competente presen- tata dal MP/TI è inammissibile.</w:t>
      </w:r>
    </w:p>
    <w:p>
      <w:r>
        <w:rPr>
          <w:b/>
        </w:rPr>
        <w:t>E. 2</w:t>
      </w:r>
    </w:p>
    <w:p>
      <w:r>
        <w:t>A titolo abbondanziale, anche volendo considerare l’istanza ammissibile, va precisato che essa si sarebbe conclusa con l’attribuzione del procedimento al Cantone Ticino, e ciò in virtù di quanto segue.</w:t>
      </w:r>
    </w:p>
    <w:p>
      <w:r>
        <w:rPr>
          <w:b/>
        </w:rPr>
        <w:t>E. 2.1</w:t>
      </w:r>
    </w:p>
    <w:p>
      <w:r>
        <w:t>L'autorità competente a decidere sul foro può stabilire un foro diverso da quello previsto negli articoli 31-37 CPP se il centro dell'attività penalmente rilevante, la situazione personale dell'imputato o altri motivi pertinenti lo esi- gono (art. 40 cpv. 3 CPP). La deroga al foro legale deve tuttavia restare l'ec-</w:t>
      </w:r>
    </w:p>
    <w:p>
      <w:r>
        <w:t>- 6 -</w:t>
      </w:r>
    </w:p>
    <w:p>
      <w:r>
        <w:t>cezione. Un accordo o una decisione in tal senso è condizionata dall'esi- stenza di motivi pertinenti. Le considerazioni sull’inopportunità del foro ex art. 31-37 CPP devono imporsi in maniera evidente. Inoltre, un Cantone può es- sere dichiarato competente o dichiararsi competente in deroga al foro legale unicamente in presenza di un nesso territoriale effettivo (TPF 2012 66 con- sid. 3.1 pag. 67 e seg.; TPF 2011 178 consid. 3.1 pag. 180 e seg; decisione del Tribunale penale federale BG.2019.9 del 21 agosto 2019 consid. 5.2). Questa Corte ha già avuto modo di affermare che un altro motivo pertinente ai sensi dell'art. 40 cpv. 3 CPP può esistere allorquando un'autorità di un Cantone rimane inattiva per quattro mesi dopo essersi vista respingere da un altro Cantone una domanda di assunzione del procedimento (TPF 2011 178 consid. 2.1 pag. 178 e seg.; decisione del Tribunale penale federale BG.2017.7 del 26 luglio 2017 consid. 5.5). Un'inazione di così lunga durata deve essere considerata, in ossequio al principio della buona fede, come un riconoscimento della propria competenza per atti concludenti (v. TPF 2011 178 consid. 3.2 pag. 181; decisioni BG.2017.7 consid. 5.5; BG.2013.25 del 25 febbraio 2014 consid. 1.3 con rinvii).</w:t>
      </w:r>
    </w:p>
    <w:p>
      <w:r>
        <w:rPr>
          <w:b/>
        </w:rPr>
        <w:t>E. 2.2</w:t>
      </w:r>
    </w:p>
    <w:p>
      <w:r>
        <w:t>In concreto, il MP/OW è rimasto inattivo per quasi sei mesi dopo il primo rifiuto di assunzione del procedimento da parte del MP/TI. Alla luce di quanto sopra, un’inazione così lunga dovrebbe essere considerata un riconosci- mento della propria competenza per atti concludenti. Tuttavia, gli atti dell’in- carto non permettono di evidenziare la presenza di un nesso territoriale ef- fettivo col Canton Obvaldo, luogo di domicilio della persona danneggiata, mentre è possibile accertare la presenza di presunti atti penalmente rilevanti in Ticino, per cui il nesso territoriale con tale Cantone è pacifico.</w:t>
      </w:r>
    </w:p>
    <w:p>
      <w:r>
        <w:rPr>
          <w:b/>
        </w:rPr>
        <w:t>E. 3</w:t>
      </w:r>
    </w:p>
    <w:p>
      <w:r>
        <w:t>Per la presente decisione non vengono prelevate spese (art. 423 cpv. 1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