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BG.2019.55 vom 15. Januar 2020</w:t>
      </w:r>
    </w:p>
    <w:p>
      <w:r>
        <w:t>Bundesstrafgericht, 2020-01-15, DE</w:t>
      </w:r>
    </w:p>
    <w:p>
      <w:r>
        <w:rPr>
          <w:b/>
        </w:rPr>
        <w:t xml:space="preserve">Quelle: </w:t>
      </w:r>
      <w:r>
        <w:t>https://mcp.opencaselaw.ch/entscheid/bstger_BG.2019.55</w:t>
      </w:r>
    </w:p>
    <w:p>
      <w:r>
        <w:t>FR: TPF BG.2019.55 du 15 janvier 2020</w:t>
      </w:r>
    </w:p>
    <w:p>
      <w:r>
        <w:t>IT: TPF BG.2019.55 del 15 gennaio 2020</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u.a. TPF 2011 94 E. 2.2). Die Behörden, welche berechtigt sind, ihren Kanton im Meinungsaustausch und im Verfahren vor der Beschwerde- kammer zu vertreten, bestimmen sich nach dem jeweiligen kantonalen Recht (Art. 14 Abs. 4 StPO).</w:t>
      </w:r>
    </w:p>
    <w:p>
      <w:r>
        <w:rPr>
          <w:b/>
        </w:rPr>
        <w:t>E. 1.2</w:t>
      </w:r>
    </w:p>
    <w:p>
      <w:r>
        <w:t>Geht in einem Kanton eine Strafanzeige bzw. ein Strafantrag ein, so hat die betroffene Strafverfolgungsbehörde von Amtes wegen zu prüfen, ob nach den Gerichtsstandsbestimmungen die örtliche Zuständigkeit ihres Kantons gegeben ist. Damit diese Prüfung zuverlässig erfolgen kann, muss die frag- liche Behörde alle für die Festlegung des Gerichtsstandes wesentlichen Tat- sachen erforschen und alle dazu notwendigen Erhebungen durchführen (vgl. zuletzt u.a. Beschluss des Bundesstrafgerichts BG.2016.22 vom 25. August 2016 E. 2.2 m.w.H.).</w:t>
      </w:r>
    </w:p>
    <w:p>
      <w:r>
        <w:rPr>
          <w:b/>
        </w:rPr>
        <w:t>E. 1.3</w:t>
      </w:r>
    </w:p>
    <w:p>
      <w:r>
        <w:t>Der Ausführungsort geht als primärer Gerichtsstand allen anderen Gerichts- ständen vor (BAUMGARTNER, Die Zuständigkeit im Strafverfahren, 2014, S. 58; SCHWERI/BÄNZIGER, Interkantonale Gerichtsstandsbestimmung in Strafsachen, 2. Aufl. 2004, N. 59 f.) und befindet sich dort, wo der Täter ge- handelt hat (BGE 86 IV 222 E. 1). Der Erfolgsort ist bei der Bestimmung des Gerichtsstands gegenüber dem Ausführungsort subsidiär und gilt nur dann, wenn es sich um ein Erfolgsdelikt oder ein konkretes Gefährdungsdelikt han- delt, der Ort des Erfolgseintritts bekannt ist und in der Schweiz liegt (vgl. Art. 31 Abs. 1 Satz 2 StPO; BGE 86 IV 222 E. 1; SCHWERI/BÄNZIGER, a.a.O.,</w:t>
      </w:r>
    </w:p>
    <w:p>
      <w:r>
        <w:t>- 6 -</w:t>
      </w:r>
    </w:p>
    <w:p>
      <w:r>
        <w:t>N. 61, 76, 95 ff.; siehe schon SCHOCH VON SCHAFFHAUSEN, Der Ort der Ver- brechensbegehung beim Distanzdelikt nach schweizerischem Recht, 1929, S. 85 ff.).</w:t>
      </w:r>
    </w:p>
    <w:p>
      <w:r>
        <w:rPr>
          <w:b/>
        </w:rPr>
        <w:t>E. 1.4</w:t>
      </w:r>
    </w:p>
    <w:p>
      <w:r>
        <w:t>Der Gesuchsteller geht davon aus, dass die «erpresserischen» E-Mails von A. von Y. (ZH) aus versandt wurden, weil dieser faktisch dort wohne, an die- sem Ort das für die Erstellung und den Versand der E-Mails verwendete Notebook im Rahmen der nachfolgenden Hausdurchsuchung aufgefunden wurde und er dort Anschluss ans Stromnetz wie auch ans Internet hatte (Ver- fahrensakten KT ZG, Ordner 2/4, Urk. 7/2).</w:t>
      </w:r>
    </w:p>
    <w:p>
      <w:r>
        <w:t>Die Annahme des Gesuchstellers, dass A. unter Berücksichtigung dieser Umstände in Y. (ZH) die E-Mails versandt habe, ist zwar naheliegend. Das internationale Rechtshilfeersuchen des Gesuchstellers vom 31. Oktober 2019 an die US-amerikanischen Behörden um Ermittlung der IP-Adresse, von welcher aus die erpresserischen E-Mails versandt wurden, wurde aber bis dato nicht beantwortet (Verfahrensakten KT ZG, Ordner 2/4, Urk. 11/12 ff.). Da das Notebook überall eingesetzt werden konnte, erlauben die bisher getätigten Abklärungen demnach nicht, den Gerichtsstand zuverlässig fest- zustellen. Solange die Frage der Zuständigkeit offen und streitig ist, bleibt jeder Kanton verpflichtet, die sein Gebiet betreffenden Tatsachen so weit abzuklären, als es der Entscheid über den Gerichtsstand erfordert.</w:t>
      </w:r>
    </w:p>
    <w:p>
      <w:r>
        <w:rPr>
          <w:b/>
        </w:rPr>
        <w:t>E. 1.5</w:t>
      </w:r>
    </w:p>
    <w:p>
      <w:r>
        <w:t>Auf das vorliegende Gerichtsstandsgesuch ist daher zurzeit nicht einzutre- ten.</w:t>
      </w:r>
    </w:p>
    <w:p>
      <w:r>
        <w:rPr>
          <w:b/>
        </w:rPr>
        <w:t>E. 2</w:t>
      </w:r>
    </w:p>
    <w:p>
      <w:r>
        <w:t>Es sind keine Gerichtskosten zu erheben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