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BG.2019.53 vom 19. Februar 2020</w:t>
      </w:r>
    </w:p>
    <w:p>
      <w:r>
        <w:t>Bundesstrafgericht, 2020-02-19, DE</w:t>
      </w:r>
    </w:p>
    <w:p>
      <w:r>
        <w:rPr>
          <w:b/>
        </w:rPr>
        <w:t xml:space="preserve">Quelle: </w:t>
      </w:r>
      <w:r>
        <w:t>https://mcp.opencaselaw.ch/entscheid/bstger_BG.2019.53</w:t>
      </w:r>
    </w:p>
    <w:p>
      <w:r>
        <w:t>FR: TPF BG.2019.53 du 19 février 2020</w:t>
      </w:r>
    </w:p>
    <w:p>
      <w:r>
        <w:t>IT: TPF BG.2019.53 del 19 febbraio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t>- 3 -</w:t>
      </w:r>
    </w:p>
    <w:p>
      <w:r>
        <w:rPr>
          <w:b/>
        </w:rPr>
        <w:t>E. 2.1</w:t>
      </w:r>
    </w:p>
    <w:p>
      <w:r>
        <w:t>Vorliegend ist der Sachverhalt und dessen rechtliche Würdigung als schwe- res Betäubungsmitteldelikt (Art. 19 Abs. 2 BetmG) unbestritten. Anerkannt ist weiter, dass der Kanton St. Gallen mit dem Antrag vom 3. Oktober 2019 auf Genehmigung eines Zufallsfundes aus einer Telefonüberwachung die erste (und einzige) Verfolgungshandlung gegen A. vorgenommen hat. Im Kanton Aargau ist keine solche bekannt. Der ordentliche Gerichtsstand (Art. 34 Abs. 1 StPO forum praeventionis) läge im Kanton St. Gallen, was dieser auch anerkennt.</w:t>
      </w:r>
    </w:p>
    <w:p>
      <w:r>
        <w:t>Der Kanton St. Gallen beruft sich auf TPF 2018 38 und hält dafür, vorliegend sei vom ordentlichen Gerichtsstand abzuweichen. A. habe nach heutigem Erkenntnisstand über 1'500 Gramm Kokain im Wert von rund Fr. 80'000.-- alleine an die drei bisher bekannten Abnehmer veräussert. Davon seien 1'300 Gramm in Z. (AG), 115 Gramm in Y. (ZH) und 100 Gramm in X. (SG) verkauft worden. Die Mengen selbst gäben bereits den klaren Hinweis, dass sich der Schwerpunkt seiner deliktischen Tätigkeit im Kanton Aargau be- finde, wo A. auch wohne (Z. (AG)). Er habe dort wohl bereits seit Jahren grössere Mengen Kokain an regionale Zwischenhändler verkauft. Dort seien auch die Untersuchungshandlungen vorzunehmen. Sie vom Kanton St. Gal- len rechtshilfeweise ausführen zu lassen, widerspräche der Prozessökono- mie. Der Gerichtsstand sei vielmehr im Kanton Aargau festzusetzen, wo A. schwergewichtig gehandelt habe und wo sich sein «Geschäftsbetrieb» be- finde.</w:t>
      </w:r>
    </w:p>
    <w:p>
      <w:r>
        <w:rPr>
          <w:b/>
        </w:rPr>
        <w:t>E. 2.2</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entspre- chend hoch sind die Voraussetzungen für ein Abweichen vom gesetzlichen Gerichtsstand anzusetzen. Überdies kann ein Kanton entgegen dem gesetz- lichen Gerichtsstand nur für zuständig erklärt werden resp. sich selber als zuständig erklären, wenn dort tatsächlich ein örtlicher Anknüpfungspunkt be- steht (TPF 2018 38 E. 3.1, TPF 2012 66 E. 3.1 S. 67 f.; TPF 2011 178 E. 3.1 S. 180 f.).</w:t>
      </w:r>
    </w:p>
    <w:p>
      <w:r>
        <w:t>- 4 -</w:t>
      </w:r>
    </w:p>
    <w:p>
      <w:r>
        <w:t>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entfallen (BGE 129 IV 202 E. 2 S. 203). Das Übergewicht muss dabei so offensichtlich und bedeutsam sein, dass sich das Abweichen vom gesetzli- chen Gerichtsstand geradezu aufdrängt. Fehlt es bereits an einer grösseren Zahl der in Frage stehenden Fälle, so drängt sich ein Abweichen vom ge- setzlichen Gerichtsstand – sofern nicht weitere triftige prozessökonomische Gesichtspunkte ernsthaft in Betracht gezogen werden müssen – nicht auf (TPF 2018 38 E. 3.2).</w:t>
      </w:r>
    </w:p>
    <w:p>
      <w:r>
        <w:rPr>
          <w:b/>
        </w:rPr>
        <w:t>E. 2.3</w:t>
      </w:r>
    </w:p>
    <w:p>
      <w:r>
        <w:t>Dem Kanton St. Gallen ist beizupflichten, dass die Verbindungen zum Kan- ton Aargau gewichtig(er) erscheinen. Die Protokolle der Telefonüberwa- chung deuten darauf hin, dass mehr Drogenlieferungen erfolgt sein könnten, als bisher bekannt. Freilich entscheidet sich die Gerichtsstandsfrage nach der aktuellen Verdachtslage, wobei sich die Beschwerdekammer auf Fakten, nicht auf Hypothesen, abstützt (Beschluss des Bundesstrafgerichts BG.2015.47 vom 1. März 2016 E. 2.3). Die Hierarchiestufe von A. mag eben- falls auf weitere Handelsaktivitäten hindeuten; genügend konkrete Hinweise dafür fehlen. Eine im Sinne der Rechtsprechung gerichtsstandsrelevante grössere Anzahl von Straftaten ist zurzeit nicht bekannt. Allein aufgrund eines Vergleichs der geschätzten Drogenverkaufsmenge kann nicht auf eine grosse Fallzahl geschlossen werden. Schon gar nicht ist ein «gesamthaft deliktischer Geschäftsbetrieb» im Kanton Aargau zu erkennen. Der Beschul- digte im Fall TPF 2018 38 hatte in einem eigens gemieteten Gebäude eine Indoor-Hanfanlage betrieben. Die Polizei fand dort säckeweise getrocknetes Marihuana und stellte an seinem Wohnort im gleichen Kanton Aktenordner mit Buchhaltungsunterlagen, Rechnungen und Belege für Einkäufe von Ge- räten, Gegenständen und Pflanzen sicher (Beschluss des Bundesstrafge- richts BG.2018.4 vom 26. Februar 2018 lit. B). Demgegenüber zeigen vorlie- gend nur der Wohnsitz von A. und gewisse Drogengeschäfte in den Kanton Aargau. Die Voraussetzungen, um vom gesetzlichen Gerichtsstand abzu- weichen, sind nicht dargetan.</w:t>
      </w:r>
    </w:p>
    <w:p>
      <w:r>
        <w:t>A. wurde zwischenzeitlich von den Zürcher Strafbehörden verhaftet. Die Pra- xis zeigt, dass das effektive Ausmass eines Drogenhandels oft erst im Ver- laufe der Untersuchung zu Tage kommt (Entscheid des Bundesstrafgerichts BG.2006.28 vom 26. September 2006 E. 3.2). Ist der Beschuldigte in Haft und ist der vorliegende Gerichtsstandsfall spruchreif, so ist er jedoch mög- lichst schnell zu entscheiden. Eine allfällige Rückweisung zur nachträglichen</w:t>
      </w:r>
    </w:p>
    <w:p>
      <w:r>
        <w:t>- 5 -</w:t>
      </w:r>
    </w:p>
    <w:p>
      <w:r>
        <w:t>Durchführung eines Meinungsaustausches mit dem Kanton Zürich ist nicht angezeigt. Damit muss es bei der Zuständigkeit des Kantons St. Gallen blei- ben. Entsprechend sind die Strafbehörden des Kantons St. Gallen berechtigt und verpflichtet, die A. zur Last gelegten Straftaten zu verfolgen und zu be- urteilen.</w:t>
      </w:r>
    </w:p>
    <w:p>
      <w:r>
        <w:rPr>
          <w:b/>
        </w:rPr>
        <w:t>E. 3</w:t>
      </w:r>
    </w:p>
    <w:p>
      <w:r>
        <w:t>Die Mitteilung der Verhaftung von A. durch die Staatsanwaltschaft Zürich- Sihl erfolgte am 5. Februar 2020. In Nachachtung des Beschleunigungsge- bots in Haftsachen (Art. 5 Abs. 2 StPO) ist der vorliegende Beschluss per Fax direkt auch der Staatsanwaltschaft Zürich-Sihl mitzuteilen. Die einge- reichten Akten sind direkt dem Kanton St. Gallen zuzustellen.</w:t>
      </w:r>
    </w:p>
    <w:p>
      <w:r>
        <w:rPr>
          <w:b/>
        </w:rPr>
        <w:t>E. 4</w:t>
      </w:r>
    </w:p>
    <w:p>
      <w:r>
        <w:t>Es sind keine Gerichtsgebühren zu erheben (vgl.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