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BG.2019.5 vom 8. Mai 2019</w:t>
      </w:r>
    </w:p>
    <w:p>
      <w:r>
        <w:t>Bundesstrafgericht, 2019-05-08, DE</w:t>
      </w:r>
    </w:p>
    <w:p>
      <w:r>
        <w:rPr>
          <w:b/>
        </w:rPr>
        <w:t xml:space="preserve">Quelle: </w:t>
      </w:r>
      <w:r>
        <w:t>https://mcp.opencaselaw.ch/entscheid/bstger_BG.2019.5</w:t>
      </w:r>
    </w:p>
    <w:p>
      <w:r>
        <w:t>FR: TPF BG.2019.5 du 8 mai 2019</w:t>
      </w:r>
    </w:p>
    <w:p>
      <w:r>
        <w:t>IT: TPF BG.2019.5 del 8 maggio 2019</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 nen Fall wenn nötig der zuständigen Stelle weiter (Art. 39 Abs. 1 StPO). Er- 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Hinsichtlich der Frist, innerhalb welcher die ersuchende Behörde ihr Gesuch einzureichen hat, ist im Normalfall die Frist von zehn Tagen gemäss Art. 396 Abs. 1 StPO analog anzuwenden (vgl.</w:t>
      </w:r>
    </w:p>
    <w:p>
      <w:r>
        <w:t>- 4 -</w:t>
      </w:r>
    </w:p>
    <w:p>
      <w:r>
        <w:t>hierzu u.a. TPF 2011 94 E. 2.2). Die Behörden, welche berechtigt sind, ihren Kanton im Meinungsaustausch und im Verfahren vor der Beschwerdekam- mer zu vertreten, bestimmen sich nach dem jeweiligen kantonalen Recht (Art. 14 Abs. 4 StPO).</w:t>
      </w:r>
    </w:p>
    <w:p>
      <w:r>
        <w:rPr>
          <w:b/>
        </w:rPr>
        <w:t>E. 1.2</w:t>
      </w:r>
    </w:p>
    <w:p>
      <w:r>
        <w:t>Geht in einem Kanton eine Strafanzeige bzw. ein Strafantrag ein, so hat die betroffene Strafverfolgungsbehörde von Amtes wegen zu prüfen, ob nach den Gerichtsstandsbestimmungen die örtliche Zuständigkeit ihres Kantons gegeben ist. Damit diese Prüfung zuverlässig erfolgen kann, muss die frag- liche Behörde alle für die Festlegung des Gerichtsstandes wesentlichen Tat- sachen erforschen und alle dazu notwendigen Erhebungen durchführen (vgl. zuletzt u.a. Beschluss des Bundesstrafgerichts BG.2016.22 vom 25. Au- gust 2016 E. 2.2 m.w.H.). Dazu gehört in Verfahren gegen eine bekannte Person insbesondere die Erhebung eines diese betreffenden Strafregister- auszugs. Dies in erster Linie um auszuschliessen, dass gegen diese bei ei- ner anderen Strafbehörde ein Verfahren mit einer höheren Strafdrohung ge- führt wird (vgl. Beschluss des Bundesstrafgerichts BG.2016.22 vom 25. Au- gust 2016 E. 2.5; BAUMGARTNER, Die Zuständigkeit im Strafverfahren, 2014, S. 460 f.; SCHWERI/BÄNZIGER, Interkantonale Gerichtsstandsbestimmung in Strafsachen, 2. Aufl. 2004, N. 560; vgl. auch Empfehlungen zur Bestimmung der örtlichen Zuständigkeit [Gerichtsstandsempfehlungen] der Schweizeri- schen Staatsanwälte-Konferenz vom 22. November 2018, Ziff. 6).</w:t>
      </w:r>
    </w:p>
    <w:p>
      <w:r>
        <w:rPr>
          <w:b/>
        </w:rPr>
        <w:t>E. 1.3</w:t>
      </w:r>
    </w:p>
    <w:p>
      <w:r>
        <w:t>B. betreffend liegt kein Strafregisterauszug in den Akten. Nur schon aus die- sem Grund kann eine zuverlässige Prüfung des Gerichtsstands nicht erfol- gen. Auf den sinngemäss erhobenen Vorwurf des Gesuchgegners, der Ge- suchsteller habe nicht alle für die Festlegung des Gerichtsstands wesentli- chen Tatsachen erforscht und alle dazu notwendigen Erhebungen durchge- führt, womit sich das Gesuch als verfrüht erweise, braucht nicht weiter ein- gegangen zu werden. Auf das Gesuch ist nicht einzutreten.</w:t>
      </w:r>
    </w:p>
    <w:p>
      <w:r>
        <w:rPr>
          <w:b/>
        </w:rPr>
        <w:t>E. 2</w:t>
      </w:r>
    </w:p>
    <w:p>
      <w:r>
        <w:t>Es ist keine Gerichtsgebühr zu erheben (vgl. Art. 423 Abs. 1 StPO).</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