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BG.2019.48 vom 20. November 2019</w:t>
      </w:r>
    </w:p>
    <w:p>
      <w:r>
        <w:t>Bundesstrafgericht, 2019-11-20, DE</w:t>
      </w:r>
    </w:p>
    <w:p>
      <w:r>
        <w:rPr>
          <w:b/>
        </w:rPr>
        <w:t xml:space="preserve">Quelle: </w:t>
      </w:r>
      <w:r>
        <w:t>https://mcp.opencaselaw.ch/entscheid/bstger_BG.2019.48</w:t>
      </w:r>
    </w:p>
    <w:p>
      <w:r>
        <w:t>FR: TPF BG.2019.48 du 20 novembre 2019</w:t>
      </w:r>
    </w:p>
    <w:p>
      <w:r>
        <w:t>IT: TPF BG.2019.48 del 20 novembre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(TPF 2011 94 E. 2.2). Die Behörden, welche berechtigt sind, ihren Kanton im Meinungsaustausch und im Verfahren vor der Beschwerdekammer zu vertreten, bestimmen sich nach dem jeweiligen kantonalen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August 2016 E. 2.2 m.w.H.).</w:t>
      </w:r>
    </w:p>
    <w:p>
      <w:r>
        <w:t>Der Ausführungsort geht als primärer Gerichtsstand allen anderen Gerichts- ständen vor (BAUMGARTNER, Die Zuständigkeit im Strafverfahren, 2014, S. 58; SCHWERI/BÄNZIGER, Interkantonale Gerichtsstandsbestimmung in Strafsachen, 2. Aufl. 2004, N. 59 f.) und befindet sich dort, wo der Täter ge- handelt hat (BGE 86 IV 222 E. 1). Der Erfolgsort ist bei der Bestimmung des Gerichtsstands gegenüber dem Ausführungsort subsidiär und gilt nur dann, wenn es sich um ein Erfolgsdelikt oder ein konkretes Gefährdungsdelikt han- delt, der Ort des Erfolgseintritts bekannt ist und in der Schweiz liegt (vgl. Art. 31 Abs. 1 Satz 2 StPO; BGE 86 IV 222 E. 1; SCHWERI/BÄNZIGER, a.a.O., N. 61, 76, 95 ff.; siehe schon SCHOCH VON SCHAFFHAUSEN, Der Ort der Verbrechensbegehung beim Distanzdelikt nach schweizerischem Recht, 1929, S. 85 ff.).</w:t>
      </w:r>
    </w:p>
    <w:p>
      <w:r>
        <w:t>- 5 -</w:t>
      </w:r>
    </w:p>
    <w:p>
      <w:r>
        <w:rPr>
          <w:b/>
        </w:rPr>
        <w:t>E. 1.3</w:t>
      </w:r>
    </w:p>
    <w:p>
      <w:r>
        <w:t>Vorliegend gibt es wenige Anknüpfungspunkte für eine Schweizer Gerichts- barkeit, aber es gibt sie. So leistete A. seine Überweisung auf ein Treuhand- konto der D. Schweiz AG, welches von der Bank J. in Zürich geführt wird. Die bisherigen Abklärungen, wonach die D. Schweiz AG über keine Büros in Z./SZ verfüge, genügt nicht zur Klärung des Gerichtsstands. So befindet sich ihr Briefkasten offenbar bei F. in Z./SZ, einem Zeichnungsberechtigten und Mitbeschuldigten. Er könnte befragt werden. Weiter könnten die Geschäfts- bücher der D. Schweiz AG Aufschlüsse geben. Sodann könnten die Zah- lungsbelege des Kontos bei der Bank J. die Umstände erhellen. Schliesslich ist auch eine Befragung von A. nicht ausgeschlossen.</w:t>
      </w:r>
    </w:p>
    <w:p>
      <w:r>
        <w:t>Die Beschwerdekammer des Bundesstrafgerichts schreibt den beteiligten Staatsanwaltschaften keine Untersuchungsmassnahmen vor. Indes haben die beteiligten Kantone vorliegend nicht alle für die Festlegung des Gerichts- stands wesentlichen Tatsachen erforscht und alle dazu notwendigen Erhe- bungen durchgeführt. Die bisher getätigten Abklärungen erlauben jedenfalls nicht, den Gerichtsstand zuverlässig festzustellen. Solange die Frage der Zuständigkeit offen oder streitig ist, bleibt jeder Kanton verpflichtet, die sein Gebiet betreffenden Tatsachen so weit abzuklären, als es der Entscheid über den Gerichtsstand erfordert. Das Vorgehen ist, soweit im Interesse des Verfahrens angezeigt, interkantonal abzustimmen. Auf das vorliegende Ge- richtsstandsgesuch ist zurzeit nicht einzutreten.</w:t>
      </w:r>
    </w:p>
    <w:p>
      <w:r>
        <w:rPr>
          <w:b/>
        </w:rPr>
        <w:t>E. 2</w:t>
      </w:r>
    </w:p>
    <w:p>
      <w:r>
        <w:t>Es ist keine Gerichtsgebühr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