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BG.2019.47 vom 29. Oktober 2019</w:t>
      </w:r>
    </w:p>
    <w:p>
      <w:r>
        <w:t>Bundesstrafgericht, 2019-10-29, IT</w:t>
      </w:r>
    </w:p>
    <w:p>
      <w:r>
        <w:rPr>
          <w:b/>
        </w:rPr>
        <w:t xml:space="preserve">Quelle: </w:t>
      </w:r>
      <w:r>
        <w:t>https://mcp.opencaselaw.ch/entscheid/bstger_BG.2019.47</w:t>
      </w:r>
    </w:p>
    <w:p>
      <w:r>
        <w:t>FR: TPF BG.2019.47 du 29 octobre 2019</w:t>
      </w:r>
    </w:p>
    <w:p>
      <w:r>
        <w:t>IT: TPF BG.2019.47 del 29 ottobre 2019</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 autorità di perseguimento penale di più Cantoni non riescono ad accordarsi sul foro competente, il pubblico ministero del Cantone che per primo si è occupato della causa sottopone senza indugio, in ogni caso prima della pro-</w:t>
      </w:r>
    </w:p>
    <w:p>
      <w:r>
        <w:t>- 4 -</w:t>
      </w:r>
    </w:p>
    <w:p>
      <w:r>
        <w:t>mozione dell'accusa, la questione al Tribunale penale federale affinché de- cida (art. 40 cpv. 2 CPP combinato con l'art. 37 cpv. 1 della legge federale del 19 marzo 2010 sull'organizzazione delle autorità penali della Confedera- zione [LOAP; RS 173.71]). Riguardo al termine per sottoporre la vertenza alla scrivente autorità, quest'ultima considera applicabile il termine di 10 giorni previsto dall'art. 396 cpv. 1 CPP, dal quale l'autorità richiedente può scostarsi unicamente in circostanze eccezionali che essa è tenuta a specifi- care (v. segnatamente TPF 2011 94 consid. 2.2). La determinazione dell'au- torità legittimata a rappresentare il proprio Cantone nell'ambito dello scambio di vedute o durante la procedura dinnanzi alla Corte dei reclami penali è retta dalle legislazioni cantonali (art. 14 cpv. 4 CPP; KUHN, Commentario Basilese, 2a ediz. 2014, n. 9 ad art. 39 e n. 10 ad art. 40 CPP; SCHMID/JOSITSCH, Handbuch des schweizerischen Strafprozessrechts, 3a ediz. 2017, n. 488; GALLIANI/MARCELLINI, Commentario CPP, 2010, n. 5 ad art. 40 CPP). Condizione per adire la presente Corte è quindi che tutti i Cantoni coinvolti abbiano provveduto a formulare una loro presa di posizione mediante uno scambio di scritti. Nell'eventualità in cui tale scambio di scritti non abbia por- tato ad alcun esito, si concretizza un conflitto di foro che giustifica l'intervento della scrivente Corte (v. art. 40 cpv. 2 CPP; BERTOSSA, Commentario Ro- mando, 2011, n. 4 ad art. 39 CPP; SCHWERI/BÄNZIGER, Interkantonale Ge- richtsstandsbestimmung in Strafsachen, 2a ediz. 2004, n. 569 e 599; FIN- GERHUTH/LIEBER, in Donatsch/Hansjakob/Lieber (ed.), Kommentar zur Schweizerischen Strafprozessordnung, 2a ediz. 2014, n. 9 ad art. 40 CPP; GUIDON/BÄNZIGER, Die aktuelle Rechtsprechung des Bundesstrafgerichts zum interkantonalen Gerichtsstand in Strafsachen, Jusletter del 21 maggio 2007, n. 5). In assenza di uno scambio di scritti completo e validamente ter- minato, l'istanza di determinazione del foro competente deve essere dichia- rata irricevibile (decisioni del Tribunale penale federale BG.2014.31 del 21 gennaio 2015 consid. 1.2; BG.2012.31 del 23 agosto 2012; BG.2012.3 del 23 febbraio 2012 consid. 1 e 3.3; BG.2011.7 del 17 giugno 2011 con- sid. 1.2; BG.2009.4 del 9 marzo 2009; KUHN, op. cit., n. 16 ad art. 40 CPP).</w:t>
      </w:r>
    </w:p>
    <w:p>
      <w:r>
        <w:rPr>
          <w:b/>
        </w:rPr>
        <w:t>E. 1.2</w:t>
      </w:r>
    </w:p>
    <w:p>
      <w:r>
        <w:t>Riguardo alla competenza in ambito di conflitti di foro in seno alle autorità di perseguimento penale ticinesi, questa Corte ha già avuto modo di constatare che, giusta l'art. 67 cpv. 6 della legge cantonale del 10 maggio 2006 sull'or- ganizzazione giudiziaria (LOG; RL TI 177.100), la stessa spetta al procura- tore incaricato del procedimento (v. decisione del Tribunale penale federale BG.2013.16 del 18 luglio 2013 consid. 1.2). Per quanto attiene al Canton Berna, competente in questo ambito è la Generalstaatsanwaltschaft (v. art. 24 lett. b della «Einführungsgesetz zur Zivilprozessordnung, zur Strafprozessordnung und zur Jugendstrafprozessordnung» del Canton</w:t>
      </w:r>
    </w:p>
    <w:p>
      <w:r>
        <w:t>- 5 -</w:t>
      </w:r>
    </w:p>
    <w:p>
      <w:r>
        <w:t>Berna dell’11 giugno 2009 [EG ZSJ/BE; BSG 271.1]; v. anche sentenza del Tribunale penale federale BG.2018.11 del 10 aprile 2018 consid. 1.2).</w:t>
      </w:r>
    </w:p>
    <w:p>
      <w:r>
        <w:rPr>
          <w:b/>
        </w:rPr>
        <w:t>E. 1.3</w:t>
      </w:r>
    </w:p>
    <w:p>
      <w:r>
        <w:t>Alla luce di ciò e fintanto che le autorità designate come competenti dalle leggi cantonali nei casi di conflitti di foro non sono state consultate e non si sono espresse, non sussiste un conflitto di foro e non è pertanto possibile adire la Corte dei reclami penali (v. decisioni del Tribunale penale federale BG.2014.31 del 21 gennaio 2015 consid. 1.3; BG.2012.33 del 28 novem- bre 2012 consid. 1.3-1.5; BG.2010.16 del 14 settembre 2010 e BG.2008.13 del 2 luglio 2008 consid. 1.2; SCHWERI/BÄNZIGER, op. cit., n. 564).</w:t>
      </w:r>
    </w:p>
    <w:p>
      <w:r>
        <w:rPr>
          <w:b/>
        </w:rPr>
        <w:t>E. 1.4</w:t>
      </w:r>
    </w:p>
    <w:p>
      <w:r>
        <w:t>Nella fattispecie, prima di formulare la presente istanza di fissazione del foro, non sono stati interpellati tutti i Cantoni toccati dai fatti descritti dal MP/TI. Nella sua istanza di fissazione del foro del 10 ottobre 2019 e nell’atto d’ac- cusa del 4 aprile 2019, l’autorità di perseguimento penale ticinese descrive infatti comportamenti di presunta rilevanza penale occorsi anche nei Cantoni di Zurigo (Y.) e Soletta (X). Ma a prescindere da questo va preso atto che l’istanza di fissazione del foro non è stata presentata a questa Corte prima della promozione dell’accusa, chiara condizione temporale posta dall’art. 40 cpv. 2 CPP per garantire l’efficienza del procedimento e il rispetto del princi- pio di celerità (v. sentenze del Tribunale penale federale BG.2014.38 del 29 aprile 2015 consid. 1.3; BG.2013.25 del 25 febbraio 2014 consid. 1.3; KUHN, op. cit., n. 5 ad art. 39 CPP e n. 14 ad art. 40 CPP), precisato che per promozione dell’accusa si intende la prima promozione dell’accusa (v. sen- tenze BG.2013.25 consid. 1.4 e BG.2014.38 consid. 1.3). Dato che quest’ul- tima è già stata indubbiamente promossa, la procedura prevista dall’art. 40 cpv. 2 CPP non è più applicabile (v. sentenze BG.2013.25 consid. 1.5 e BG.2014.38 consid. 1.4). L’istanza è quindi inammissibile perché tardiva.</w:t>
      </w:r>
    </w:p>
    <w:p>
      <w:r>
        <w:rPr>
          <w:b/>
        </w:rPr>
        <w:t>E. 1.5</w:t>
      </w:r>
    </w:p>
    <w:p>
      <w:r>
        <w:t>In ogni caso, anche se l’istanza di fissazione del foro fosse stata ammissibile, la competenza del Canton Ticino per giudicare i fatti descritti nell’atto d’ac- cusa del 4 aprile 2019 sarebbe stata comunque data in virtù di quanto segue.</w:t>
      </w:r>
    </w:p>
    <w:p>
      <w:r>
        <w:rPr>
          <w:b/>
        </w:rPr>
        <w:t>E. 2.1</w:t>
      </w:r>
    </w:p>
    <w:p>
      <w:r>
        <w:t>L’autorità competente a decidere sul foro può stabilire un foro diverso da quello previsto negli articoli 31-37 se il centro dell’attività penalmente rile- vante, la situazione personale dell’imputato o altri motivi pertinenti lo esigono (art. 40 cpv. 3 CPP). La deroga al foro legale deve tuttavia restare l’ecce- zione. Un accordo o una decisione che assegni il perseguimento penale ad un Cantone non competente legalmente è condizionato dall’esistenza di mo- tivi pertinenti. Le considerazioni che fanno apparire il foro legale inopportuno</w:t>
      </w:r>
    </w:p>
    <w:p>
      <w:r>
        <w:t>- 6 -</w:t>
      </w:r>
    </w:p>
    <w:p>
      <w:r>
        <w:t>devono imporsi in maniera evidente. Inoltre, un Cantone può essere dichia- rato competente o dichiararsi competente in deroga al foro legale unica- mente in presenza di un nesso territoriale effettivo (TPF 2012 66 consid. 3.1 pag. 67 e seg.; TPF 2011 178 consid. 3.1 pag. 180 e seg; sentenza del Tri- bunale penale federale BG.2019.9 del 21 agosto 2019 consid. 5.2). Questa Corte ha già avuto modo di affermare che un altro motivo pertinente ai sensi dell’art. 40 cpv. 3 CPP può esistere allorquando un’autorità di un Cantone rimane inattiva per quattro mesi dopo essersi vista respingere da un altro Cantone una domanda di assunzione del procedimento (TPF 2011 178 con- sid. 2.1 pag. 178 e seg.; sentenza del Tribunale penale federale BG.2017.7 del 26 luglio 2017 consid. 5.5). Un’inazione di così lunga durata deve essere considerata, in ossequio al principio della buona fede, come un riconosci- mento della propria competenza per atti concludenti (v. TPF 2011 178 con- sid. 3.2 pag. 181; sentenze BG.2017.7 consid. 5.5; BG.2013.25 consid. 1.3 con rinvii).</w:t>
      </w:r>
    </w:p>
    <w:p>
      <w:r>
        <w:rPr>
          <w:b/>
        </w:rPr>
        <w:t>E. 2.2</w:t>
      </w:r>
    </w:p>
    <w:p>
      <w:r>
        <w:t>In concreto, da una parte, gli atti dell’incarto, e in particolare l’atto d’accusa del 4 aprile 2019 (v. act. 1.1), permettono di accertare la presenza di presunti atti penalmente rilevanti anche in Ticino, per cui il nesso territoriale con tale Cantone è dato. D’altra parte, si rileva che il MP/TI ha aperto il procedimento penale a carico degli indagati in data 19 ottobre 2017, procedendo in seguito a diversi atti istruttori e richiedendo assistenza giudiziaria al Canton Berna. Esso non ha formulato richieste di assunzione del procedimento ad altri Can- toni potenzialmente toccati dai fatti oggetto della sua inchiesta e non ha dun- que messo in discussione la propria competenza, giungendo sino alla pro- mozione dell’accusa dinanzi alla Corte delle assise criminali quasi un anno e mezzo dopo. Quanto precede sarebbe stato da considerare come un rico- noscimento del foro per atti concludenti da parte del MP/TI.</w:t>
      </w:r>
    </w:p>
    <w:p>
      <w:r>
        <w:rPr>
          <w:b/>
        </w:rPr>
        <w:t>E. 3</w:t>
      </w:r>
    </w:p>
    <w:p>
      <w:r>
        <w:t>Per la presente decisione non vengono prelevate spese (art. 423 cpv.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