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BG.2019.39 vom 3. Oktober 2019</w:t>
      </w:r>
    </w:p>
    <w:p>
      <w:r>
        <w:t>Bundesstrafgericht, 2019-10-03, DE</w:t>
      </w:r>
    </w:p>
    <w:p>
      <w:r>
        <w:rPr>
          <w:b/>
        </w:rPr>
        <w:t xml:space="preserve">Quelle: </w:t>
      </w:r>
      <w:r>
        <w:t>https://mcp.opencaselaw.ch/entscheid/bstger_BG.2019.39</w:t>
      </w:r>
    </w:p>
    <w:p>
      <w:r>
        <w:t>FR: TPF BG.2019.39 du 3 octobre 2019</w:t>
      </w:r>
    </w:p>
    <w:p>
      <w:r>
        <w:t>IT: TPF BG.2019.39 del 3 ottobre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u.a. Beschluss des Bundesstrafgerichts BG.2014.7 vom 21. März 2014 E. 1) sind vorliegend erfüllt und geben zu keinen Bemerkungen Anlass.</w:t>
      </w:r>
    </w:p>
    <w:p>
      <w:r>
        <w:rPr>
          <w:b/>
        </w:rPr>
        <w:t>E. 2.1</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w:t>
      </w:r>
    </w:p>
    <w:p>
      <w:r>
        <w:rPr>
          <w:b/>
        </w:rPr>
        <w:t>E. 2.2</w:t>
      </w:r>
    </w:p>
    <w:p>
      <w:r>
        <w:t>Nach bundesgerichtlicher Rechtsprechung ist Mittäter, wer bei der Ent- schliessung, Planung oder Ausführung eines Deliktes vorsätzlich und in massgebender Weise mit anderen Tätern zusammenwirkt, so dass er als Hauptbeteiligter dasteht (BGE 118 IV 227 E. 5d/aa; 108 IV 88 E. 2a), und der ausserdem über die tatsächliche Begehung der Tat nicht allein zu be- stimmen hat, sondern dies zusammen mit anderen tut. Mittäterschaft setzt somit eine (Mit-) Tatherrschaft voraus (vgl. BGE 133 IV 76 E. 2.7; 111 IV 51 E. 1b). Mittäterschaft ist dabei jede arbeitsteilige, für den Erfolg wesentliche Mitwirkung im Ausführungsstadium (BGE 120 IV 17 E. 2d; 118 IV 397 E. 2b). Ein Gehilfe leistet zu einem Verbrechen oder Vergehen vorsätzlich Hilfe, wo- bei im Unterschied zu Täter und Mittäter der Gehilfe keine Herrschaft über den Tatablauf besitzt. Sein Beitrag besteht in der blossen Förderung der Tat anderer. Der Gehilfe fördert eine Tat, wenn er sie durch einen untergeordne- ten Tatbeitrag unterstützt bzw. wenn er die Ausführung der Haupttat durch irgendwelche Vorkehren oder durch psychische Hilfe erleichtert. Die Erfolg- schance der Haupttat muss sich durch die Hilfeleistung nachweisbar erhö- hen. Nicht erforderlich ist, dass es ohne die Beihilfe nicht zur Tat gekommen wäre (BGE 129 IV 124 E. 3.2; 121 IV 109 E. 3a).</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(vgl. Beschluss des Bundesstrafgerichts BG.2015.47 vom 1. März 2016 E. 2.3 m.w.H.). Es gilt der Grundsatz in dubio pro duriore, wo- nach im Zweifelsfall auf den für den Beschuldigten ungünstigeren Sachver-</w:t>
      </w:r>
    </w:p>
    <w:p>
      <w:r>
        <w:t>- 6 -</w:t>
      </w:r>
    </w:p>
    <w:p>
      <w:r>
        <w:t>halt abzustellen bzw. das schwerere Delikt anzunehmen ist (vgl. zum Gan- zen auch den Beschluss des Bundesstrafgerichts BG.2016.28 vom 25. Ok- tober 2016 E. 2.2 m.w.H.).</w:t>
      </w:r>
    </w:p>
    <w:p>
      <w:r>
        <w:rPr>
          <w:b/>
        </w:rPr>
        <w:t>E. 2.4</w:t>
      </w:r>
    </w:p>
    <w:p>
      <w:r>
        <w:t>Der Gesuchsgegner bestreitet zunächst nicht, dass Q. mutmasslich sowohl beim Diebstahl in Kanton Waadt wie auch beim Diebstahl im Kanton Zürich beteiligt war. Er ist jedoch der Ansicht, dass dies auf die übrigen Beschuldig- ten nicht zuträfe. Weil Q. bei den Diebstählen im Kanton Waadt und im Kan- ton Zürich jeweils nur eine untergeordnete Rolle eingenommen habe, müsse sie grundsätzlich mit den beiden Verhafteten O. und P. im Kanton Zürich verfolgt und beurteilt werden. Allerdings müsse das Verfahren beförderlich behandelt werden, da O. und P. in Untersuchungshaft seien. Q. sei unbe- kannten Aufenthalts. Vor diesem Hintergrund dränge sich ausnahmsweise eine getrennte Verfolgung und Beurteilung der Verfahren auf. Während der Kanton Zürich für die Verfolgung und Beurteilung von O. und P. zuständig sei, sei der Kanton Waadt für die die Beurteilung und Verfolgung der Q. vor- geworfenen Straftat für zuständig zu erklären, zumal im Kanton Waadt dies- bezüglich die ersten Verfolgungshandlungen vorgenommen worden seien.</w:t>
      </w:r>
    </w:p>
    <w:p>
      <w:r>
        <w:rPr>
          <w:b/>
        </w:rPr>
        <w:t>E. 2.5</w:t>
      </w:r>
    </w:p>
    <w:p>
      <w:r>
        <w:t>Vorliegend ist zunächst festzuhalten, dass gestützt auf die Aktenlage davon ausgegangen werden kann, Q. sei bei den Diebstählen im Kanton Waadt und im Kanton Zürich nicht nur eine untergeordnete Rolle zugekommen. Ihre mutmassliche Rolle, am Sitz der B. SA bzw. bei F. zu Hause die Umschläge mit dem Geld in Umschläge mit Papierschnitzel ausgetauscht zu haben, be- steht in weit mehr als einer blossen Förderung der Tat anderer. Das Austau- schen der Umschläge ist als für den Erfolg geradezu wesentliche Mitwirkung zu werten. Mithin ist gestützt auf die gegenwärtige Aktenlage ohne Weiteres davon auszugehen, Q. habe bei den Diebstählen in Zürich und Waadt als Mittäterin einer Tätergruppe gehandelt. In beiden Fällen, die im Übrigen zeit- lich äusserst nahe zusammenliegen, haben die Täter sodann nach dem identischen Muster agiert. Zwar vermag der gleiche modus operandi für sich keinen selbständigen Verdacht zu begründen, wonach es sich in beiden Fäl- len um die exakt gleiche Tätergruppe gehandelt hat, verstärkt diesen Ver- dacht aber insoweit, als eine Tatbegehung durch die gleichen Beteiligten nicht ausgeschlossen werden kann, zumal gar eine Verbindung zwischen Q. und P. aktenkundig ist (vgl. act. 1 S. 7). Hinzu kommt, dass die Täter gemäss Aussagen von A. am 17. Oktober 2018 nach dem Austausch des Briefum- schlags mit einem schwarzen Mercedes mit Genfer Nummernschildern weg- gefahren seien. Die Genfer Autonummer sei fünfstellig gewesen und habe sicher mit der Zahl 9, eventuell mit 93 oder 99, begonnen (Verfahrensakten ZH Urk. 1184). Wie ausgeführt (supra lit. C und D) waren die beschuldigten N., O. und P. nach dem Diebstahl im Kanton Luzern am 25. Januar 2019</w:t>
      </w:r>
    </w:p>
    <w:p>
      <w:r>
        <w:t>- 7 -</w:t>
      </w:r>
    </w:p>
    <w:p>
      <w:r>
        <w:t>ebenfalls mit einem schwarzen Mercedes mit Genfer Nummernschildern un- terwegs. Gestützt auf die bisherigen Ermittlungen kann davon ausgegangen werden, dass P. zusammen mit Q. beim Diebstahl in Zürich beteiligt war. Vor diesem Hintergrund ist nicht auszuschliessen, dass es sich beim Diebstahl im Kanton Waadt um die gleichen Tatbeteiligten handelt wie beim Diebstahl im Kanton Zürich.</w:t>
      </w:r>
    </w:p>
    <w:p>
      <w:r>
        <w:rPr>
          <w:b/>
        </w:rPr>
        <w:t>E. 3</w:t>
      </w:r>
    </w:p>
    <w:p>
      <w:r>
        <w:t>Da die ersten Verfolgungshandlungen unbestrittenermassen im Kanton Waadt erfolgt sind, ist gestützt auf die dargelegte Rechtsprechung (vgl. supra E. 2.1) der Kanton Waadt für berechtigt und verpflichtet zu erklären, die N., O., P. und Q. zur Last gelegten Delikte zu verfolgen und zu beurteilen. Das Gesuch erweist sich damit als begründet.</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