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BG.2019.36 vom 25. Oktober 2019</w:t>
      </w:r>
    </w:p>
    <w:p>
      <w:r>
        <w:t>Bundesstrafgericht, 2019-10-25, DE</w:t>
      </w:r>
    </w:p>
    <w:p>
      <w:r>
        <w:rPr>
          <w:b/>
        </w:rPr>
        <w:t xml:space="preserve">Quelle: </w:t>
      </w:r>
      <w:r>
        <w:t>https://mcp.opencaselaw.ch/entscheid/bstger_BG.2019.36</w:t>
      </w:r>
    </w:p>
    <w:p>
      <w:r>
        <w:t>FR: TPF BG.2019.36 du 25 octobre 2019</w:t>
      </w:r>
    </w:p>
    <w:p>
      <w:r>
        <w:t>IT: TPF BG.2019.36 del 25 ottobre 2019</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(TPF 2011 94 E. 2.2 S. 96). Die Behörden, welche berechtigt sind, ihren Kan- ton im Meinungsaustausch und im Verfahren vor der Beschwerdekammer zu vertreten, bestimmen sich nach dem jeweiligen kantonalen Recht (Art. 14 Abs. 4 StPO).</w:t>
      </w:r>
    </w:p>
    <w:p>
      <w:r>
        <w:rPr>
          <w:b/>
        </w:rPr>
        <w:t>E. 1.2</w:t>
      </w:r>
    </w:p>
    <w:p>
      <w:r>
        <w:t>Die Eintretensvoraussetzungen (durchgeführter Meinungsaustausch zwi- schen den zuständigen Behörden der Kantone Zürich und Freiburg, Frist und Form, vgl. Beschluss des Bundesstrafgerichts BG.2014.7 vom 21. März 2014 E. 1) sind vorliegend erfüllt. Auf das Gesuch ist somit einzutreten.</w:t>
      </w:r>
    </w:p>
    <w:p>
      <w:r>
        <w:rPr>
          <w:b/>
        </w:rPr>
        <w:t>E. 2</w:t>
      </w:r>
    </w:p>
    <w:p>
      <w:r>
        <w:t>Die Beurteilung der Gerichtsstandsfrage richtet sich nach der aktuellen Ver- dachtslage. Massgeblich ist nicht, was dem Beschuldigten schlussendlich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(Beschlüsse des Bundesstrafgerichts BG.2016.28 vom 25. Ok- tober 2016 E. 2.2; BG.2016.6 vom 17. Mai 2016 E. 2.2). Dabei stützt sich die Beschwerdekammer auf Fakten, nicht auf Hypothesen (Beschlüsse des Bundesstrafgerichts BG.2015.47 vom 1. März 2016 E. 2.3; BG.2015.38 vom 22. Oktober 2015 E. 2). Es gilt der Grundsatz in dubio pro duriore, wonach im Zweifelsfall auf den für den Beschuldigten ungünstigeren Sachverhalt ab-</w:t>
      </w:r>
    </w:p>
    <w:p>
      <w:r>
        <w:t>- 4 -</w:t>
      </w:r>
    </w:p>
    <w:p>
      <w:r>
        <w:t>zustellen bzw. das schwerere Delikt anzunehmen ist (Beschlüsse des Bun- desstrafgerichts BG.2016.28 vom 25. Oktober 2016 E. 2.2; BG.2016.6 vom 17. Mai 2016 E. 2.2; BG.2016.10 vom 10. Mai 2016 E. 2.3).</w:t>
      </w:r>
    </w:p>
    <w:p>
      <w:r>
        <w:rPr>
          <w:b/>
        </w:rPr>
        <w:t>E. 3.1</w:t>
      </w:r>
    </w:p>
    <w:p>
      <w:r>
        <w:t>Für die Verfolgung und Beurteilung einer Straftat sind die Behörden des Or- tes zuständig, an dem die Tat verübt worden ist (Art. 31 Abs. 1 Satz 1 StPO). 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3.2</w:t>
      </w:r>
    </w:p>
    <w:p>
      <w:r>
        <w:t>Unbestritten ist, dass der Gesuchsgegner gegen A. bereits seit rund zwei Jahren wegen einer Tat ermittelt, die mit einer höheren Strafe bedroht ist. Somit liegt der gesetzliche Gerichtsstand in Anwendung von Art. 34 Abs. 1 StPO im Kanton Freiburg. Dies wird vom Gesuchsgegner auch nicht bestrit- ten. Vielmehr ist er der Ansicht, es lägen triftige Gründe vor, um vom gesetz- lichen Gerichtsstand abweichen zu können (act. 3).</w:t>
      </w:r>
    </w:p>
    <w:p>
      <w:r>
        <w:rPr>
          <w:b/>
        </w:rPr>
        <w:t>E. 4.1</w:t>
      </w:r>
    </w:p>
    <w:p>
      <w:r>
        <w:t>Die Beschwerdekammer kann (wie die beteiligten Staatsanwaltschaften un- ter 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 weichen vom gesetzlichen Gerichtsstand kann aus Zweckmässigkeits-, Wirt- schaftlichkeits- oder prozessökonomischen Gründen gerechtfertigt sein, soll indes die Ausnahme bleiben (BGE 129 IV 202 E. 2 S. 203; Beschluss des Bundesstrafgerichts BG.2014.8 vom 9. April 2014 E. 2.1 m.w.H.).</w:t>
      </w:r>
    </w:p>
    <w:p>
      <w:r>
        <w:rPr>
          <w:b/>
        </w:rPr>
        <w:t>E. 4.2</w:t>
      </w:r>
    </w:p>
    <w:p>
      <w:r>
        <w:t>Eine massgebende Rolle spielen vorliegend insbesondere die unterschiedli- chen Verfahrensstadien der beiden gegen A. geführten Untersuchungen. Das Verfahren im Kanton Freiburg wird seit rund zwei Jahren geführt und es wurden zahlreiche Untersuchungshandlungen vorgenommen, so dass das Verfahren bereits zum Zeitpunkt des Meinungsaustausches kurz vor Ab- schluss bzw. Überweisung an das zuständige Gericht im abgekürzten Ver- fahren stand. Der Gesuchsgegner wies den Gesuchsteller am 8. Juli 2019</w:t>
      </w:r>
    </w:p>
    <w:p>
      <w:r>
        <w:t>- 5 -</w:t>
      </w:r>
    </w:p>
    <w:p>
      <w:r>
        <w:t>darauf hin, dass für den Abschluss des Verfahrens lediglich eine abschlies- sende Einvernahme fehle (act. 1.2). Demgegenüber wurde im Kanton Zürich bisher eine Strafanzeige eingereicht und soweit ersichtlich wurden bis dato keine nennenswerten Untersuchungshandlungen vorgenommen. Eine Über- tragung der im Kanton Zürich hängigen Untersuchung an den Gesuchsgeg- ner wäre mit Blick auf die Verfahrensökonomie zum jetzigen Zeitpunkt un- zweckmässig. Hinzu kommt, dass A. und die anderen beiden Beschuldigten im Kanton Zürich wohnhaft und Letztere mit den Mitbeschuldigten im freibur- ger Verfahren nicht identisch sind. Die Untersuchung gegen sie eröffnete der Gesuchsteller, weil sie die Verantwortlichen der inzwischen aus dem Han- delsregister gelöschten E. GmbH waren, die ihren Sitz im Kanton Zürich hatte. Ebenfalls im Kanton Zürich ist der Sitz der mutmasslich Geschädigten (B. GmbH). Aus dem Gesagten folgt, dass es sich vorliegend aus triftigen Gründen rechtfertigt, vom gesetzlichen Gerichtsstand abzuweichen.</w:t>
      </w:r>
    </w:p>
    <w:p>
      <w:r>
        <w:rPr>
          <w:b/>
        </w:rPr>
        <w:t>E. 5</w:t>
      </w:r>
    </w:p>
    <w:p>
      <w:r>
        <w:t>Nach dem Gesagten ist der Kanton Zürich berechtigt und verpflichtet, die A., C. und D. zur Last gelegten Straftaten zu verfolgen und zu beurteilen.</w:t>
      </w:r>
    </w:p>
    <w:p>
      <w:r>
        <w:rPr>
          <w:b/>
        </w:rPr>
        <w:t>E. 6</w:t>
      </w:r>
    </w:p>
    <w:p>
      <w:r>
        <w:t>Es sind keine Gerichtskosten zu erheben (vgl.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