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BG.2019.25 vom 17. Juni 2019</w:t>
      </w:r>
    </w:p>
    <w:p>
      <w:r>
        <w:t>Bundesstrafgericht, 2019-06-17, FR</w:t>
      </w:r>
    </w:p>
    <w:p>
      <w:r>
        <w:rPr>
          <w:b/>
        </w:rPr>
        <w:t xml:space="preserve">Quelle: </w:t>
      </w:r>
      <w:r>
        <w:t>https://mcp.opencaselaw.ch/entscheid/bstger_BG.2019.25</w:t>
      </w:r>
    </w:p>
    <w:p>
      <w:r>
        <w:t>FR: TPF BG.2019.25 du 17 juin 2019</w:t>
      </w:r>
    </w:p>
    <w:p>
      <w:r>
        <w:t>IT: TPF BG.2019.25 del 17 giugno 2019</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pas s’entendre sur le for, le ministère public du canton saisi en premier de la cause soumet la question sans retard et, en tout cas, avant la mise en accu- sation, à la Cour des plaintes du Tribunal pénal fédéral, qui tranche (art. 40 al. 2 CPP en lien avec l’art. 37 al. 1 de la loi fédérale du 19 mars 2010 sur l’organisation des autorités pénales [LOAP, RS 173.71]). La condition préa- lable pour la saisine de la Cour des plaintes réside cependant en un échange de vues préalable entre les cantons concernés (décisions du Tribunal pénal fédéral BG.2018.26 du 8 août 2018 consid. 1 et BG.2018.6 du 19 avril 2018 consid. 2; SCHWERI/BÄNZIGER, Interkantonale Gerichtsstandsbestimmung in Strafsachen, 2e éd 2004, n° 599). S’agissant du délai dans lequel l’autorité requérante doit saisir la Cour de céans, il a été décidé de se référer par ana- 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w:t>
      </w:r>
    </w:p>
    <w:p>
      <w:r>
        <w:t>- 7 -</w:t>
      </w:r>
    </w:p>
    <w:p>
      <w:r>
        <w:t>de chaque canton que l’on détermine les autorités qui sont légitimées à re- présenter leur canton dans le cadre de l’échange de vues ou dans la procé- dure devant la Cour des plaintes (art. 14 al. 4 CPP; KUHN, Basler Kommen- tar, Schweizerische Strafprozessordnung [ci-après: Basler Kommentar], 2e éd. 2014, n° 9 ad art. 39 CPP et n° 10 s. ad art. 40 CPP).</w:t>
      </w:r>
    </w:p>
    <w:p>
      <w:r>
        <w:rPr>
          <w:b/>
        </w:rPr>
        <w:t>E. 1.2</w:t>
      </w:r>
    </w:p>
    <w:p>
      <w:r>
        <w:t>L’échange de vues a été correctement mené à bien. Les ministères publics des cantons concernés sont légitimés à représenter leur canton dans des contestations de for intercantonales en matière pénale et la requête en fixa- tion de for a, conformément à l’art. 40 al. 2 CPP, été présentée par les auto- rités de poursuite pénale saisies en premier lieu. Déposée le 15 mai 2019 après le dernier échange de vue intervenu le 9 mai 2019, la requête en fixa- tion de for est ainsi recevable et il y a lieu d’entrer en matière.</w:t>
      </w:r>
    </w:p>
    <w:p>
      <w:r>
        <w:rPr>
          <w:b/>
        </w:rPr>
        <w:t>E. 2.1</w:t>
      </w:r>
    </w:p>
    <w:p>
      <w:r>
        <w:t>Selon le MP-VD, les faits dont il est question et s’étant déroulés entre le 7 et le 26 février 2019 peuvent être qualifiés de vol en bande et par métier. Il s’agit de l’infraction la plus grave au sens de l’art. 34 CPP, et, dès lors qu’elle a été commise dans tous les cantons concernés, le for doit être fixé dans le canton où les premiers actes d’instructions ont été entrepris, soit dans le canton de Berne. L’art. 33 al. 2 CPP permet d’aboutir à la même conclusion (act. 1, p. 9).</w:t>
      </w:r>
    </w:p>
    <w:p>
      <w:r>
        <w:rPr>
          <w:b/>
        </w:rPr>
        <w:t>E. 2.2</w:t>
      </w:r>
    </w:p>
    <w:p>
      <w:r>
        <w:t>Selon le MP-BE, seul E. aurait agi sur sol bernois, et il aurait agi avec un autre groupe que celui interpellé le 26 février 2019. Aucun des coauteurs interpellés n’a participé au vol à Z. (Berne) et le MP-VD se baserait unique- ment sur les déclarations de A. pour fonder la compétence des autorités ber- noises (act. 8, p. 3).</w:t>
      </w:r>
    </w:p>
    <w:p>
      <w:r>
        <w:rPr>
          <w:b/>
        </w:rPr>
        <w:t>E. 3</w:t>
      </w:r>
    </w:p>
    <w:p>
      <w:r>
        <w:t>En procédure pénale, les fors sont réglés aux art. 31 à 42 CPP. Les lex ge- neralis des fors le sont aux art. 31 et 32 CPP, alors que les fors spéciaux sont réglés aux art. 33 à 38 CPP. Les art. 39 à 42 CPP traitent de la procé- dure visant à déterminer les fors.</w:t>
      </w:r>
    </w:p>
    <w:p>
      <w:r>
        <w:rPr>
          <w:b/>
        </w:rPr>
        <w:t>E. 3.1</w:t>
      </w:r>
    </w:p>
    <w:p>
      <w:r>
        <w:t>Selon l’art. 33 CPP, les participants à une infraction sont poursuivis et jugés par l’autorité qui poursuit et juge l’auteur (al. 1). Si l’infraction a été commise par plusieurs coauteurs, l’autorité compétente est celle du lieu où les pre- miers actes de poursuite ont été entrepris (al. 2).</w:t>
      </w:r>
    </w:p>
    <w:p>
      <w:r>
        <w:t>- 8 -</w:t>
      </w:r>
    </w:p>
    <w:p>
      <w:r>
        <w:t>Cette disposition permet la mise en œuvre du principe de l’unité de la procé- dure consacré par l’art. 29 al. 1 let. b CPP et vise tant à éviter des jugements contradictoires qu’à servir l’économie de la procédure (ATF 138 IV 29 con- sid. 3.2; 138 IV 214 consid. 3.2; JEANNERET/KUHN, Précis de procédure pé- nale, 2e éd. 2018, n° 3023); il s’agit, autant que possible, d’éviter une pluralité d’enquêtes débouchant sur une multiplication des coûts de procédure ainsi qu’une débauche inutile d’énergie, d’investigations croisées et, souvent, de conflits entre les autorités judiciaires.</w:t>
      </w:r>
    </w:p>
    <w:p>
      <w:r>
        <w:rPr>
          <w:b/>
        </w:rPr>
        <w:t>E. 3.2</w:t>
      </w:r>
    </w:p>
    <w:p>
      <w:r>
        <w:t>Par ailleurs, selon l’art. 34 al. 1 CPP, lorsque le prévenu a commis plusieurs infractions en des lieux différents, l’autorité du lieu où a été commise l’infrac- tion punie de la peine la plus grave est compétente pour la poursuite et le jugement de toutes les infractions. Si plusieurs infractions sont punies de la même peine, l’autorité compétente est celle du lieu où les premiers actes de poursuite ont été entrepris.</w:t>
      </w:r>
    </w:p>
    <w:p>
      <w:r>
        <w:rPr>
          <w:b/>
        </w:rPr>
        <w:t>E. 4</w:t>
      </w:r>
    </w:p>
    <w:p>
      <w:r>
        <w:t>Se rend coupable de vol, celui qui, pour se procurer ou procurer à un tiers un enrichissement illégitime, aura soustrait une chose mobilière appartenant à autrui dans le but de se l’approprier. La peine encourue est une peine pri- vative de liberté de cinq ans au plus ou une peine pécuniaire (art. 139 ch. 1 CP).</w:t>
      </w:r>
    </w:p>
    <w:p>
      <w:r>
        <w:t>Si en revanche l'auteur a agi en qualité d'affilié à une bande formée pour commettre des brigandages ou des vols, le vol sera puni d'une peine priva- tive de liberté de dix ans au plus ou d'une peine pécuniaire de 180 jours- amende au moins (art. 139 ch. 3 al. 2 CP). Selon la jurisprudence, il y a bande lorsque deux ou plusieurs auteurs manifestent expressément ou par acte concluant la volonté de s'associer en vue de commettre ensemble plu- sieurs infractions indépendantes, même s'ils n'ont pas de plan et que les infractions futures ne sont pas encore déterminées. Deux personnes suffi- sent donc à constituer une bande, pour autant toutefois qu'il existe entre elles une organisation et une collaboration d'une certaine intensité (ATF 135 IV 158 consid. 2; 124 IV 86 consid. 2b; arrêt du Tribunal fédéral 6P.104/2004 du 24 mars 2005, consid. 3). L'association a pour caractéristique de renfor- cer physiquement et psychiquement chacun des membres de sorte qu'elle les rend particulièrement dangereux et laisse prévoir la commission d'autres infractions de ce type. Du point de vue subjectif, il suffit que l'auteur con- naisse et veuille les circonstances de fait qui correspondent à la définition de la bande (arrêt du Tribunal fédéral 6B_861/2009 du 18 février 2010 con- sid. 3.1 et références citées). Il faut de surcroît, pour parler de bande, cons- tater un certain degré d’organisation (par exemple partage des rôles et du</w:t>
      </w:r>
    </w:p>
    <w:p>
      <w:r>
        <w:t>- 9 -</w:t>
      </w:r>
    </w:p>
    <w:p>
      <w:r>
        <w:t>travail) et d’une équipe relativement soudée et stable, même si cette dernière n’a pas nécessairement vocation à s’inscrire dans la durée (DUPUIS/MOREIL- LON/PIGUET/BERGER/MAZOU/RODIGARI, Petit Commentaire du Code pénal, 2e éd. 2017, n° 25 ad art. 139 CP et références citées, en particulier ATF 132 IV 132 consid. 5.2).</w:t>
      </w:r>
    </w:p>
    <w:p>
      <w:r>
        <w:rPr>
          <w:b/>
        </w:rPr>
        <w:t>E. 4.1</w:t>
      </w:r>
    </w:p>
    <w:p>
      <w:r>
        <w:t>En l’espèce, il ressort des investigations effectuées jusqu’à présent par les autorités vaudoises que les prévenus logeaient dans un camping en France, endroit à partir duquel les vols en Suisse étaient organisés. Les tâches étaient réparties entre différents protagonistes: l’un était chargé du repérage dans les magasins, un autre était le chauffeur, une personne s’occupait de trouver d’autres individus pour commettre les vols et l’un se chargeait de préparer les sacs doublés d’aluminium utilisés pour les vols. Chacun était envoyé dans un magasin visé afin de dérober le matériel indiqué, puis, une fois la journée terminée, le chauffeur ramenait les voleurs et le butin en France. Le chef vérifiait alors la marchandise puis l’envoyait en Roumanie. Les voleurs étaient rémunérés par la suite. Il semble dès lors que les préve- nus ont agi en tant qu’affiliés à une bande pour commettre les vols objets des investigations. Cette appréciation n’est d’ailleurs pas remise en cause par les Ministères publics concernés.</w:t>
      </w:r>
    </w:p>
    <w:p>
      <w:r>
        <w:rPr>
          <w:b/>
        </w:rPr>
        <w:t>E. 4.2.1</w:t>
      </w:r>
    </w:p>
    <w:p>
      <w:r>
        <w:t>Le MP-BE soutient toutefois que E. aurait agi avec un autre groupe et que les éléments au dossier ne permettraient pas d’affirmer qu’il aurait agi avec la bande interpellée le 26 février 2019. Pourtant, la lecture du dossier dé- montre au contraire que E. a non seulement agi à Z. (Berne) le 7 février 2019, mais également à V. (Tessin) le 12 février 2019, à U. (Valais) le 14 février 2019 en compagnie de C., et à ZZ. (Tessin) le 15 février 2019 avec C. et A. (dossier MP-VD, annexes 2 et 5a et dossier MP-TI). A., lors de son audition du 27 mars 2019, a de plus indiqué que E. faisait partie de la bande délic- tueuse, et qu’il l’avait connu lors de son premier séjour en Suisse en no- vembre 2018. Il indique l’avoir revu ensuite le 14 février 2019 dans le cam- ping en France où ils logeaient. Il affirme également s’être rendu dans le canton de Berne pour effectuer des vols (dossier MP-VD, annexe 1d). Force est dès lors de conclure que E. fait bien partie de la bande interpellée le 26 février 2019, contrairement aux allégations du MP-BE.</w:t>
      </w:r>
    </w:p>
    <w:p>
      <w:r>
        <w:rPr>
          <w:b/>
        </w:rPr>
        <w:t>E. 4.2.2</w:t>
      </w:r>
    </w:p>
    <w:p>
      <w:r>
        <w:t>Le MP-BE ne saurait davantage être suivi lorsqu’il indique que le MP-VD s’est basé exclusivement sur les déclarations de A. Le dossier produit par le MP-TI démontre que l’enquête tessinoise était dirigée contre A., B., C., D. et E., après avoir identifié les protagonistes notamment grâce aux vidéosurveil- lances. Ainsi, l’enquête tessinoise a permis d’établir la présence de E. à V. (Tessin) le 12 février 2019 et à ZZ. (Tessin) le 15 février 2019 (act. 7.1). Le</w:t>
      </w:r>
    </w:p>
    <w:p>
      <w:r>
        <w:t>- 10 -</w:t>
      </w:r>
    </w:p>
    <w:p>
      <w:r>
        <w:t>MP-VS a également ouvert la procédure à l’encontre de C. et E. pour les faits s’étant déroulés le 14 février 2019 dans le magasin G. de U. (Valais) (dossier MP-VS). C’est dès lors l’ensemble de ces éléments, et non les déclarations de A. uniquement, qui ont permis au MP-VD d’aboutir à la conclusion que c’est aux autorités bernoises que revenait la compétence d’instruire et juger les faits objets de la présente décision.</w:t>
      </w:r>
    </w:p>
    <w:p>
      <w:r>
        <w:rPr>
          <w:b/>
        </w:rPr>
        <w:t>E. 5</w:t>
      </w:r>
    </w:p>
    <w:p>
      <w:r>
        <w:t>Au vu des éléments qui précèdent, l’argumentation du MP-VD ne prête pas le flanc à la critique. Le MP-BE ne niant pas que les premiers actes d’ins- truction, datant du 7 février 2019, se soient déroulés sur son territoire, il sied de reconnaître sa compétence conformément aux art. 33 al. 2 et 34 CPP. Partant, la requête du 15 mai 2019 formée par le MP-VD doit être admise et il convient d’enjoindre au MP-BE de poursuivre et de juger les infractions reprochées à A., B., C., D. et E.</w:t>
      </w:r>
    </w:p>
    <w:p>
      <w:r>
        <w:rPr>
          <w:b/>
        </w:rPr>
        <w:t>E. 6</w:t>
      </w:r>
    </w:p>
    <w:p>
      <w:r>
        <w:t>La présente décision est rendue sans frais (art. 423 al. 1 CPP).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