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BG.2019.24 vom 27. November 2019</w:t>
      </w:r>
    </w:p>
    <w:p>
      <w:r>
        <w:t>Bundesstrafgericht, 2019-11-27, DE</w:t>
      </w:r>
    </w:p>
    <w:p>
      <w:r>
        <w:rPr>
          <w:b/>
        </w:rPr>
        <w:t xml:space="preserve">Quelle: </w:t>
      </w:r>
      <w:r>
        <w:t>https://mcp.opencaselaw.ch/entscheid/bstger_BG.2019.24</w:t>
      </w:r>
    </w:p>
    <w:p>
      <w:r>
        <w:t>FR: TPF BG.2019.24 du 27 novembre 2019</w:t>
      </w:r>
    </w:p>
    <w:p>
      <w:r>
        <w:t>IT: TPF BG.2019.24 del 27 novembre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August 2016 E. 2.2 m.w.H.).</w:t>
      </w:r>
    </w:p>
    <w:p>
      <w:r>
        <w:rPr>
          <w:b/>
        </w:rPr>
        <w:t>E. 1.3</w:t>
      </w:r>
    </w:p>
    <w:p>
      <w:r>
        <w:t>Unbestritten ist, dass die MROS-Meldung vom 1. Oktober 2018 einen Ver- dacht auf Geldwäscherei gemäss Art. 305bis Ziff. 1 StGB begründet. Unbe- stritten ist auch, dass für die Festlegung des Gerichtsstandes insbesondere wesentlich ist, wer die Bareinzahlungen auf das Konto der D. GmbH tätigte und wer die Zahlungsaufträge in Auftrag gab. Der Gesuchsteller erklärt selbst, dass sich dies zum jetzigen Zeitpunkt nicht erstellen lasse. Es stelle sich etwa die Frage, wer im Besitz einer Bankkarte war, und zur Verdachts- lage müssten zwei ehemalige Gesellschafter förmlich befragt werden. Der Gesuchsteller führte aber keinerlei Erhebungen durch. In den Akten fehlen etwa auch die Strafregisterauszüge der beschuldigten Personen (vgl. hierzu zuletzt u.a. Beschluss des Bundesstrafgerichts BG.2019.5 vom 8. Mai 2019 E. 1.2 mit Hinweisen).</w:t>
      </w:r>
    </w:p>
    <w:p>
      <w:r>
        <w:t>- 5 -</w:t>
      </w:r>
    </w:p>
    <w:p>
      <w:r>
        <w:t>Die beteiligten Kantone haben vorliegend nicht alle für die Festlegung des Gerichtsstands wesentlichen Tatsachen erforscht und alle dazu notwendi- gen Erhebungen durchgeführt. Die bisher getätigten Abklärungen erlauben jedenfalls nicht, den Gerichtsstand zuverlässig festzustellen. Solange die Frage der Zuständigkeit offen oder streitig ist, bleibt jeder Kanton verpflichtet, die sein Gebiet betreffenden Tatsachen so weit abzuklären, als es der Ent- scheid über den Gerichtsstand erfordert. Das Vorgehen ist, soweit im Inte- resse des Verfahrens angezeigt, interkantonal abzustimmen. Auf das vorlie- gende Gerichtsstandsgesuch ist zurzeit nicht einzutreten.</w:t>
      </w:r>
    </w:p>
    <w:p>
      <w:r>
        <w:rPr>
          <w:b/>
        </w:rPr>
        <w:t>E. 2</w:t>
      </w:r>
    </w:p>
    <w:p>
      <w:r>
        <w:t>Es ist keine Gerichtsgebühr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