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BG.2019.23 vom 7. Juni 2019</w:t>
      </w:r>
    </w:p>
    <w:p>
      <w:r>
        <w:t>Bundesstrafgericht, 2019-06-07, DE</w:t>
      </w:r>
    </w:p>
    <w:p>
      <w:r>
        <w:rPr>
          <w:b/>
        </w:rPr>
        <w:t xml:space="preserve">Quelle: </w:t>
      </w:r>
      <w:r>
        <w:t>https://mcp.opencaselaw.ch/entscheid/bstger_BG.2019.23</w:t>
      </w:r>
    </w:p>
    <w:p>
      <w:r>
        <w:t>FR: TPF BG.2019.23 du 7 juin 2019</w:t>
      </w:r>
    </w:p>
    <w:p>
      <w:r>
        <w:t>IT: TPF BG.2019.23 del 7 giugno 2019</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 Auf das Gesuch ist einzutreten.</w:t>
      </w:r>
    </w:p>
    <w:p>
      <w:r>
        <w:rPr>
          <w:b/>
        </w:rPr>
        <w:t>E. 2.1</w:t>
      </w:r>
    </w:p>
    <w:p>
      <w:r>
        <w:t>Der Kanton Schaffhausen führt aus, A. habe ausschliesslich Tathandlungen im Kanton Zürich ausgeführt. Dort wohne er, dort habe er die Betäubungs- mittel im Darknet bestellt und dort in Winterthur habe er sie übergeben. Man- gels eines örtlichen Anknüpfungspunktes falle eine Schaffhauser Zuständig- keit ausser Betracht.</w:t>
      </w:r>
    </w:p>
    <w:p>
      <w:r>
        <w:t>- 4 -</w:t>
      </w:r>
    </w:p>
    <w:p>
      <w:r>
        <w:t>Der Kanton Zürich bringt vor, B. sei verdächtigt, Betäubungsmittel eingeführt zu haben (vgl. Art. 19 Abs. 1 lit. b i.V.m. Abs. 2 BetmG) und A. habe dabei als Mittäter oder Gehilfe mitgewirkt. B. habe ausgesagt, er kenne A. durch seine Freundin und sei durch A. ans Amphetamin gekommen. Sie seien mal zusammengesessen und hätten das Ganze angeschaut. A. habe ihm dann angeboten, dass er ihm das Amphetamin bestellen könne, da es so günsti- ger komme. Das sei alles über das Darknet gelaufen. B. kenne sich da nicht aus. Für die ersten 100 Gramm habe B. Fr. 200.--, beim zweiten Mal habe er Fr. 480.-- für 250 Gramm bezahlt (Delegierte Einvernahme der Schaffhau- ser Polizei von B. vom 15. Dezember 2016 S. 5 f.). A. habe B. somit gehol- fen, günstig Amphetamin einzuführen. B. habe A. für 1 Gramm Amphetamin im Schnitt knapp Fr. 2.-- bezahlt und es für das drei- bis 10-fache verkauft. Bei seinem früheren Lieferanten habe er teilweise Fr. 15.-- bezahlen müs- sen. B. und A. hätten gleichgerichtete Ziele verfolgt, was nach in dubio pro duriore eine Teilnahme nahelege. Mit dem Verkaufen des Amphetamins durch B. im Kanton Schaffhausen gebe es dort einen örtlichen Anknüpfungs- punkt. Überdies habe die Schaffhauser Staatsanwaltschaft durch Untätigkeit den Gerichtsstand konkludent anerkannt. Überdies habe sie am 3. Februar 2018 ein Verfahren gegen A. ausdrücklich übernommen. Daher sei der Kan- ton Schaffhausen als zuständig zu erklären.</w:t>
      </w:r>
    </w:p>
    <w:p>
      <w:r>
        <w:rPr>
          <w:b/>
        </w:rPr>
        <w:t>E. 2.2</w:t>
      </w:r>
    </w:p>
    <w:p>
      <w:r>
        <w:t>Für die Verfolgung und Beurteilung einer Straftat sind die Behörden des Or- tes zuständig, an dem die Tat verübt worden ist (Art. 31 Abs. 1 StPO Ge- richtsstand des Tatortes). Die Teilnehmerinnen und Teilnehmer einer Straftat werden von den gleichen Behörden verfolgt und beurteilt wie die Täterin oder der Täter (Art. 33 Abs. 1 StPO). Ist eine Straftat von mehreren Mittäterinnen oder Mittätern verübt worden, so sind die Behörden des Ortes zuständig, an dem zuerst Verfolgungshandlungen vorgenommen worden sind (Art. 33 Abs. 2 StPO).</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m.w.H). Es gilt der aus dem Legalitätsprinzip fliessende Grundsatz in dubio pro duriore (BGE 138 IV 186 E. 4.1). Daraus leitet sich für die Bestimmung des Gerichtsstandes ab, dass im Zweifelsfall auf den für</w:t>
      </w:r>
    </w:p>
    <w:p>
      <w:r>
        <w:t>- 5 -</w:t>
      </w:r>
    </w:p>
    <w:p>
      <w:r>
        <w:t>den Beschuldigten ungünstigeren Sachverhalt abzustellen bzw. das schwe- rere Delikt anzunehmen ist (statt vieler Beschluss des Bundesstrafgerichts BG.2017.19 vom 11. September 2017 E. 2.2).</w:t>
      </w:r>
    </w:p>
    <w:p>
      <w:r>
        <w:rPr>
          <w:b/>
        </w:rPr>
        <w:t>E. 2.3</w:t>
      </w:r>
    </w:p>
    <w:p>
      <w:r>
        <w:t>Art. 19 Abs. 1 lit. a–e BetmG stellen sämtliche Formen einer Beteiligung am unbefugten Drogenverkehr, von der Produktion und der Verbreitung bis hin zum Erwerb, sowie blosse Vorbereitungshandlungen hiezu, unter Strafe (s. zu aArt. 19 Ziff. 1 BetmG ergangene Rechtsprechung: Urteile des Bun- desgerichts 6B_778/2009 vom 7. Januar 2010 E. 2.4; 6S.99/2007 vom 28. Juni 2007 E. 5.2.1). Nach der Rechtsprechung hat jede der in Art. 19 Abs. 1 BetmG aufgeführten Handlungen die Bedeutung eines selbstständi- gen Straftatbestandes, so dass Täter ist, wer in eigener Person einen dieser gesetzlichen Tatbestände objektiv und subjektiv erfüllt (BGE 133 IV 187 E. 3.2; 119 IV 266 E. 3a; 118 IV 397 E. 2c, alle zu aArt. 19 Ziff. 1 BetmG).</w:t>
      </w:r>
    </w:p>
    <w:p>
      <w:r>
        <w:t>Bei der Anwendung von Art. 19 BetmG sind im Interesse einer vernünftigen Begrenzung der strafrechtlichen Verantwortlichkeit die Anforderungen an die Annahme einer Mittäterschaft eher hoch anzusetzen. Mittäterschaft ist nur dann zu bejahen, wenn der Wiederverkäufer von seinem Lieferanten mehr als nur betreffend den blossen Bezug der Ware wesentlich abhängig ist oder nach dessen Weisungen handelt, und ihm dadurch die alleinige Tatherr- schaft für die von ihm getätigten (Weiter-) Verkäufe fehlt (vgl. zum Ganzen BGE 118 IV 397 E. 2c). Mittäter im Sinne von Art. 33 Abs. 2 StPO sind in der Regel Personen, die auf der gleichen Hierarchiestufe im Drogenhandel tätig sind (Entscheid des Bundesstrafgerichts BG.2005.15 vom 16. Juni 2005 E. 3.1 und 3.2 sowie Ziff. 14 der Gerichtsstandsempfehlungen SSK vom 1. Dezember 2018). Da in Art. 19 Abs. 1 BetmG die Unterstützungshandlun- gen als selbständige Tatbestände ausgestaltet sind, wodurch nahezu jeder Teilnehmer zum Täter gemacht wird, besteht auch kein grosser Raum für die Anwendung der Tatfigur der Gehilfenschaft (BGE 118 IV 397 E. 2c).</w:t>
      </w:r>
    </w:p>
    <w:p>
      <w:r>
        <w:rPr>
          <w:b/>
        </w:rPr>
        <w:t>E. 2.4</w:t>
      </w:r>
    </w:p>
    <w:p>
      <w:r>
        <w:t>Selbst in Würdigung des Sachverhalts nach in dubio pro duriore sind die ho- hen Anforderungen an die Annahme einer Mittäterschaft bei Betäubungsmit- teldelikten nicht erfüllt. A. habe B., nach einem Zusammensitzen, zwei Mal Betäubungsmittel verkauft. Eine Besprechung alleine schafft noch keine Tä- tigkeit auf gleicher Hierarchiestufe. Damit liegen keine Ansätze für eine über den blossen zweimaligen Bezug der Ware hinausgehende Abhängigkeit vor. Anzeichen für eine Weisungsgewalt B.s über A. fehlen ebenfalls. Der Tatort des Drogenverkehrs von A. liegt vorliegend unstrittig im Kanton Zürich. Da- mit ist dafür der Kanton Zürich nach Art. 31 Abs. 1 StPO zuständig. Mangels eines örtlichen Anknüpfungspunktes im Kanton Schaffhausen fehlen die Vo- raussetzungen, um nach Art. 40 Abs. 3 StPO von diesem ordentlichen Ge- richtsstand abzuweichen.</w:t>
      </w:r>
    </w:p>
    <w:p>
      <w:r>
        <w:t>- 6 -</w:t>
      </w:r>
    </w:p>
    <w:p>
      <w:r>
        <w:rPr>
          <w:b/>
        </w:rPr>
        <w:t>E. 2.5</w:t>
      </w:r>
    </w:p>
    <w:p>
      <w:r>
        <w:t>Entgegen Art. 39 Abs. 2 StPO informierten die Schaffhauser Strafbehörden nicht unverzüglich über die wesentlichen Elemente des Falles noch bemüh- ten sie sich um eine möglichst rasche Einigung. Schon bei Einleitung des Verfahrens ruhte im Kanton Schaffhausen das Verfahren gegen A. offenbar seit Januar 2017 (Datum Polizeibericht; nicht in den eingereichten Akten). Das Gerichtsstandsverfahren dauerte 18 Monate (von der ersten Anfrage am 17. Oktober 2017 bis zur Anrufung der Beschwerdekammer am 8. Mai 2019) und damit zu lang. Es liegt kein besonderer Fall vor. Auf die Ablehnung des Kantons Zürich vom 28. November 2017 reagierte der Kanton Schaffhausen am 24. Mai 2018. Zur Verfahrensdauer beigetragen hat die Entscheidung des Kantons Schaffhausen, den Tatort erst während des Meinungsaustau- sches zu klären (ab 1. Juni 2017 bis 21. September 2018). Am 12. Januar 2019 kontaktierte er daraufhin den Kanton Zürich erneut. Bereits am 24. Mai 2018 – wie auch vor Bundesstrafgericht, act. 1 S. 4 f. – brachte der Kanton Schaffhausen vor, mangels eines örtlichen Anknüpfungspunktes (TPF 2011 178 E. 3.1) könne er nicht für zuständig erklärt werden. Das Gerichtsstands- verfahren, wie vom Kanton Schaffhausen vorliegend geführt, verletzt das Be- schleunigungsgebot (vgl. Art. 29 Abs. 1 BV; Art. 6 Ziff. 1 EMRK; Art. 5 Abs. 1 StPO; BGE 143 IV 373 E. 1.3–1.4).</w:t>
      </w:r>
    </w:p>
    <w:p>
      <w:r>
        <w:rPr>
          <w:b/>
        </w:rPr>
        <w:t>E. 3</w:t>
      </w:r>
    </w:p>
    <w:p>
      <w:r>
        <w:t>Nach dem Gesagten sind die Strafbehörden des Kantons Zürich für berech- tigt und verpflichtet zu erklären, die A. zur Last gelegten Straftaten zu verfol- gen und zu beurteilen.</w:t>
      </w:r>
    </w:p>
    <w:p>
      <w:r>
        <w:rPr>
          <w:b/>
        </w:rPr>
        <w:t>E. 4</w:t>
      </w:r>
    </w:p>
    <w:p>
      <w:r>
        <w:t>Es sind keine Gerichtsgebühren zu erheben (vgl.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