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BG.2019.18 vom 7. Mai 2019</w:t>
      </w:r>
    </w:p>
    <w:p>
      <w:r>
        <w:t>Bundesstrafgericht, 2019-05-07, DE</w:t>
      </w:r>
    </w:p>
    <w:p>
      <w:r>
        <w:rPr>
          <w:b/>
        </w:rPr>
        <w:t xml:space="preserve">Quelle: </w:t>
      </w:r>
      <w:r>
        <w:t>https://mcp.opencaselaw.ch/entscheid/bstger_BG.2019.18</w:t>
      </w:r>
    </w:p>
    <w:p>
      <w:r>
        <w:t>FR: TPF BG.2019.18 du 7 mai 2019</w:t>
      </w:r>
    </w:p>
    <w:p>
      <w:r>
        <w:t>IT: TPF BG.2019.18 del 7 maggio 2019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StPO i.V.m. Art. 38 Abs. 1 und Art. 41 Abs. 1 StPO) werde missachtet (Art. 41 Abs. 2 Satz 2 StPO; vgl. zuletzt u.a. Beschluss des Bundesstrafge- richts BG.2019.7 vom 19. Februar 2019 E. 1.1 m.w.H.);</w:t>
      </w:r>
    </w:p>
    <w:p>
      <w:r>
        <w:t>- vorliegend die Frage, ob ein Überweisungsverfahren durchzuführen gewe- sen wäre, offenbleiben kann, wenn sich die Beschwerde ohnehin als unbe- gründet erweist;</w:t>
      </w:r>
    </w:p>
    <w:p>
      <w:r>
        <w:t>- der Beschwerdeführer seine Beschwerde im Wesentlich damit begründet, ein Tatort der angeblichen Beschimpfung im Zuständigkeitsbereich der Staatsanwaltschaft Muri-Bremgarten sei weder bewiesen noch bekannt;</w:t>
      </w:r>
    </w:p>
    <w:p>
      <w:r>
        <w:t>- der Beschwerdeführer verkennt, dass bei der Beurteilung der Gerichts- standsfrage von der aktuellen Verdachtslage ausgegangen werden muss und nicht massgeblich ist, was schliesslich nachgewiesen werden kann (vgl. zuletzt u.a. Beschluss des Bundesstrafgerichts BG.2018.18 vom 13. Sep- tember 2018 E. 2 m.w.H.);</w:t>
      </w:r>
    </w:p>
    <w:p>
      <w:r>
        <w:t>- sich die Strafverfolgungsbehörden vorliegend zulässigerweise und wie von Art. 31 Abs. 1 StPO vorgesehen auf den Ort einigten, an dem die Tathand- lung (Versand E-Mails) mutmasslich vorgenommen worden ist, und dieser auch dem gesetzlichen Gerichtsstand entspricht;</w:t>
      </w:r>
    </w:p>
    <w:p>
      <w:r>
        <w:t>- sich die Beschwerde nach dem Gesagten als offensichtlich unbegründet er- weist; diese demnach ohne Schriftenwechsel (vgl. Art. 390 Abs. 2 StPO im Umkehrschluss) abzuweisen ist;</w:t>
      </w:r>
    </w:p>
    <w:p>
      <w:r>
        <w:t>- bei diesem Ausgang des Verfahrens die Gerichtskosten dem unterliegenden Beschwerdeführer aufzuerlegen sind (vgl. Art. 428 Abs. 1 StPO); die Ge- richtsgebühr auf Fr. 200.– festzusetzen ist (vgl. Art. 73 StBOG i.V.m. Art. 5 und Art.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