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BG.2019.1 vom 26. März 2019</w:t>
      </w:r>
    </w:p>
    <w:p>
      <w:r>
        <w:t>Bundesstrafgericht, 2019-03-26, DE</w:t>
      </w:r>
    </w:p>
    <w:p>
      <w:r>
        <w:rPr>
          <w:b/>
        </w:rPr>
        <w:t xml:space="preserve">Quelle: </w:t>
      </w:r>
      <w:r>
        <w:t>https://mcp.opencaselaw.ch/entscheid/bstger_BG.2019.1</w:t>
      </w:r>
    </w:p>
    <w:p>
      <w:r>
        <w:t>FR: TPF BG.2019.1 du 26 mars 2019</w:t>
      </w:r>
    </w:p>
    <w:p>
      <w:r>
        <w:t>IT: TPF BG.2019.1 del 26 marzo 2019</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w:t>
      </w:r>
    </w:p>
    <w:p>
      <w:r>
        <w:t>- 5 -</w:t>
      </w:r>
    </w:p>
    <w:p>
      <w:r>
        <w:t>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u. a. TPF 2011 94 E. 2.2). Die Behörden, welche berechtigt sind, ihren Kanton im Meinungsaustausch und im Verfahren vor der Beschwerdekam- mer zu vertreten, bestimmen sich nach dem jeweiligen kantonalen Recht (Art. 14 Abs. 4 StPO; vgl. hierzu KUHN, Basler Kommentar, 2. Aufl. 2014, Art. 39 StPO N. 9 sowie Art. 40 StPO N. 10; SCHMID/JOSITSCH, Handbuch des schweizerischen Strafprozessrechts, 3. Aufl. 2017, N. 488; GAL- LIANI/MARCELLINI, Codice svizzero di procedura penale [CPP] – Commenta- rio, 2010, n. 5 ad art. 40 CPP).</w:t>
      </w:r>
    </w:p>
    <w:p>
      <w:r>
        <w:rPr>
          <w:b/>
        </w:rPr>
        <w:t>E. 1.2</w:t>
      </w:r>
    </w:p>
    <w:p>
      <w:r>
        <w:t>Bezüglich Form und Substanziierung gilt, dass Eingaben in Gerichtsstands- streitigkeiten vollständig zu dokumentieren sind, sodass ohne weitere Be- weismassnahmen darüber entschieden werden kann (Beschluss des Bun- desstrafgerichts BG.2014.5 vom 24. April 2014 E. 1.3). Die in Gerichts- standsverfahren ersuchende Behörde hat das Gesuch so zu verfassen, dass ihm ohne Durchsicht der kantonalen Akten die für die Bestimmung des Ge- richtsstandes erforderlichen und wesentlichen Tatsachen entnommen wer- den können, weshalb dieses in kurzer, aber vollständiger Übersicht darzule- gen hat, welche strafbaren Handlungen dem Beschuldigten vorgeworfen werden, wann und wo diese ausgeführt wurden und wo allenfalls der Erfolg eingetreten ist, wie die aufgrund der Aktenlage in Frage kommenden straf- baren Handlungen rechtlich zu würdigen sind sowie welche konkreten Ver- folgungshandlungen von welchen Behörden wann vorgenommen wurden (a.a.O.).</w:t>
      </w:r>
    </w:p>
    <w:p>
      <w:r>
        <w:rPr>
          <w:b/>
        </w:rPr>
        <w:t>E. 1.3</w:t>
      </w:r>
    </w:p>
    <w:p>
      <w:r>
        <w:t>Der Leitende Staatsanwalt des Untersuchungsamtes Gossau ist im Kanton St. Gallen berechtigt, den Gesuchsteller in interkantonalen Gerichtsstand- konflikten vor der Beschwerdekammer des Bundesstrafgerichts zu vertreten (Art. 11 lit. g i.V.m. Art. 24 des Einführungsgesetzes zur Schweizerischen Straf- und Jugendstrafprozessordnung des Kantons St. Gallen vom 3. Au- gust 2010 [EG StPO/SG; sGS 962.1]). Auf Seiten der Gesuchsgegner steht diese Befugnis im Kanton Schwyz der Oberstaatsanwaltschaft des Kantons Schwyz (§ 48 lit. e und f des Justizgesetzes des Kantons Schwyz vom 18. November 2009 [JG/SZ; SRSZ 231.110]) und im Kanton Glarus dem lei- tenden Staatsanwalt zu (Art. 11 Abs. 1 lit. e des Einführungsgesetzes zur Schweizerischen Strafprozessordnung und zur Schweizerischen Jugend- strafprozessordnung vom 2. Mai 2010, EG StPO/GL; III F/1).</w:t>
      </w:r>
    </w:p>
    <w:p>
      <w:r>
        <w:t>- 6 -</w:t>
      </w:r>
    </w:p>
    <w:p>
      <w:r>
        <w:rPr>
          <w:b/>
        </w:rPr>
        <w:t>E. 1.4</w:t>
      </w:r>
    </w:p>
    <w:p>
      <w:r>
        <w:t>Unter Hinweis auf den C. betreffenden Strafregisterauszug (Sachverhaltsak- ten, Urk. 3) kritisiert der Gesuchsgegner 2, dass der Gesuchsteller sich in seinem Gesuch darauf beschränke, den Vorwurf betreffend Betrug samt Ur- kundenfälschung wiederzugeben, welcher Gegenstand des hängigen Ver- fahrens beim Untersuchungsamt Gossau bilde. Der Gesuchsteller gehe aber auf die übrigen Straftaten, welche C. vorgeworfen werden, nicht ein. Damit erweise sich das Gesuch als nicht ausreichend substantiiert, weshalb darauf nicht eingetreten werden könne (act. 5 S. 2). Der Kritik des Gesuchsgegners</w:t>
      </w:r>
    </w:p>
    <w:p>
      <w:r>
        <w:rPr>
          <w:b/>
        </w:rPr>
        <w:t>E. 2</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als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(GUIDON/BÄNZIGER, Die aktuelle Rechtsprechung des Bundesstraf- gerichts zum interkantonalen Gerichtsstand in Strafsachen, Jusletter 21. Mai 2007, [Rz 25] m.w.H.; vgl. nebst anderen den Entscheid des Bundesstrafge- richts BG.2010.12 vom 8. September 2010 E. 2.2 m.w.H.). Es gilt der Grund- satz „in dubio pro duriore“, wonach im Zweifelsfall auf den für den Beschul- digten ungünstigeren Sachverhalt abzustellen bzw. das schwerere Delikt an- zunehmen ist (GUIDON/BÄNZIGER, a.a.O., [Rz 44] m.w.H.).</w:t>
      </w:r>
    </w:p>
    <w:p>
      <w:r>
        <w:rPr>
          <w:b/>
        </w:rPr>
        <w:t>E. 3</w:t>
      </w:r>
    </w:p>
    <w:p>
      <w:r>
        <w:t>Aufl. 2013, Art. 8 StGB N. 9). Ein Betrug gilt als dort verübt, wo der Täter jemanden durch Vorspiegelung oder Unterdrückung von Tatsachen zu einem Verhalten bestimmt, das den sich Irrenden oder einen Dritten am Vermögen schädigt (vgl. dazu Art. 146 StGB). Ausführungshandlung des Betrugs ist jede Tätigkeit, die nicht blosse Vorbereitungshandlung ist, d.h. die nach dem Plan des Betrügers auf dem Weg zum Erfolg den entscheidenden Schritt bildet, von dem es in der Regel kein von äusseren Schwierigkeiten unbeeinflusstes Zurück mehr gibt (SCHWERI/BÄNZIGER, a.a.O., N. 106). Der Tatbestand der Urkundenfälschung gemäss Art. 251 Ziff. 1 StGB gilt an dem Ort ausgeführt, wo die Urkunde gefälscht, somit geschrieben und un- terzeichnet wird. Eine Urkunde wird dort nach Art. 251 Ziff. 1 Abs. 3 StGB zur Täuschung gebraucht, wo sie der geschädigten Person zugänglich ge- macht wird (BAUMGARTNER, Die Zuständigkeit im Strafverfahren, 2014, S. 137). Zu berücksichtigen ist dabei, dass der Gebrauch einer falschen Ur- kunde durch den Hersteller eine mitbestrafte Nachtat darstellt (vgl. BGE 100 IV 238 E. 5 S. 243).</w:t>
      </w:r>
    </w:p>
    <w:p>
      <w:r>
        <w:rPr>
          <w:b/>
        </w:rPr>
        <w:t>E. 3.1</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w:t>
      </w:r>
    </w:p>
    <w:p>
      <w:r>
        <w:t>- 7 -</w:t>
      </w:r>
    </w:p>
    <w:p>
      <w:r>
        <w:t>Ortes zuständig, an dem zuerst Verfolgungshandlungen vorgenommen wor- den sind (Art. 34 Abs. 1 StPO).</w:t>
      </w:r>
    </w:p>
    <w:p>
      <w:r>
        <w:rPr>
          <w:b/>
        </w:rPr>
        <w:t>E. 3.2</w:t>
      </w:r>
    </w:p>
    <w:p>
      <w:r>
        <w:t>Verwendet der Täter, wie vorliegend, für einen Betrug gefälschte Urkunden, besteht nach der Praxis des Bundesgerichtes zwischen Art. 251 und Art. 146 StGB echte Gesetzeskonkurrenz (in der Form von "Realkonkurrenz", BGE 138 IV 209 E. 5.5; 129 IV 53 E. 3; 122 I 257 E. 6a; 105 IV 242 E. 3b, je mit Hinweisen).</w:t>
      </w:r>
    </w:p>
    <w:p>
      <w:r>
        <w:rPr>
          <w:b/>
        </w:rPr>
        <w:t>E. 3.3</w:t>
      </w:r>
    </w:p>
    <w:p>
      <w:r>
        <w:t>Begehungsort ist gemäss Art. 8 Abs. 1 StGB primär der Ausführungsort, d.h. der Ort, an dem der Täter gehandelt hat (zu Art. 340 Abs. 1 Satz 1 aStGB SCHWERI/BÄNZIGER, Interkantonale Gerichtsstandsbestimmung in Strafsa- chen, 2. Aufl. 2004, N. 65; POPP/KESHELAVA, Basler Kommentar,</w:t>
      </w:r>
    </w:p>
    <w:p>
      <w:r>
        <w:rPr>
          <w:b/>
        </w:rPr>
        <w:t>E. 3.4</w:t>
      </w:r>
    </w:p>
    <w:p>
      <w:r>
        <w:t>Gemäss den unter Strafandrohung von Art. 303, 304 und 305 StGB gemach- ten Aussagen von A. übergab dieser C. das Fleisch in X. (SZ), wo C. ihm auch den gefälschten Bankbeleg vorhielt. Der Ausführungsort des Betrugs liegt demnach grundsätzlich im Kanton SZ. Gemäss den Angaben von C. erfolgte die Fälschung des Auszugs in W. (GL). Entsprechend ist vom Aus- führungsort im Kanton GL auszugehen. Im Unterschied zu dem mit Beschluss BG.2011.44 vom 5. Dezember 2011 E. 2.2 beurteilten Fall lässt sich die Fälschung des PostFinance-Auszugs in W. (GL) nicht als das Kerngeschehen sowohl der Urkundenfälschung als auch des Betrugs darstellen, weshalb von einem Deliktsschwerpunkt im</w:t>
      </w:r>
    </w:p>
    <w:p>
      <w:r>
        <w:t>- 8 -</w:t>
      </w:r>
    </w:p>
    <w:p>
      <w:r>
        <w:t>Kanton Glarus – entgegen der Darstellung des Gesuchsgegners 1 – nicht ausgegangen werden kann. Folglich wurden die beiden Delikte an verschie- denen Orten verübt. Da die Urkundenfälschung und der Betrug derselben Strafandrohung unterliegen, ist zur Bestimmung des Gerichtsstands das letzte Kriterium von Art. 34 Abs. 1 StPO zu prüfen, d.h. wo die ersten Verfol- gungshandlungen vorgenommen worden sind (sog. forum praeventionis).</w:t>
      </w:r>
    </w:p>
    <w:p>
      <w:r>
        <w:rPr>
          <w:b/>
        </w:rPr>
        <w:t>E. 3.5</w:t>
      </w:r>
    </w:p>
    <w:p>
      <w:r>
        <w:t>Die Strafanzeige ging vorliegend im Kanton St. Gallen ein, welcher aber nicht Begehungsort ist. Das forum praeventionis kann nur in einem Kanton be- gründet werden, dem an sich der betreffenden Sache Gerichtsbarkeit zu- steht, nicht aber in einem Kanton, dessen Behörden sich vorläufig mit einer Sache befassen, die für sich allein betrachtet in einem anderen Kanton ver- folgt werden müssen. Entsprechend sind Handlungen von Behörden eines örtlich unzuständigen Kantons bei der Bestimmung des forum praeventionis unbeachtlich (BGE 121 IV 38 E. 2c; SCHWERI/BÄNZIGER, a.a.O., N. 155, S. 51).</w:t>
      </w:r>
    </w:p>
    <w:p>
      <w:r>
        <w:rPr>
          <w:b/>
        </w:rPr>
        <w:t>E. 3.6</w:t>
      </w:r>
    </w:p>
    <w:p>
      <w:r>
        <w:t>Nach den ersten Untersuchungshandlungen ersuchte die Staatsanwalt- schaft des Kantons St. Gallen die Kantonspolizei des Kantons Schwyz bzw. Staatsanwaltschaft March gestützt auf Art. 49 Abs. 1 StPO um Einvernahme des dort wohnhaften C. Rechtshilfeweise für einen anderen Kanton durch- geführte Untersuchungshandlungen sind grundsätzlich dem ersuchenden Kanton zuzurechnen (SCHWERI/BÄNZIGER, a.a.O., N. 148, S. 48 f.). Dieser Grundsatz gilt nicht, wenn es im ersuchenden Kanton, wie vorliegend, an einem örtlichen Anknüpfungspunkt fehlt. So kann der Gerichtsstand nicht in einem Kanton begründet werden, dessen Behörden sich vorläufig mit einer Sache befassen, die für sich allein in einem anderen Kanton verfügt werden müsste (BGE 92 IV 57 E. 3). Kann die rechtshilfeweise vorgenommene Un- tersuchungshandlung nicht dem ersuchenden Kanton zugerechnet werden, so ist sie als Anhebung der Untersuchung durch die ersuchte Behörde zu betrachten, sofern im ersuchten Kanton ein Begehungsort und damit ein ört- licher Anknüpfungspunkt gegeben ist. Ob die örtlich zuständige Behörde durch eine Strafanzeige oder durch ein Rechtshilfeersuchen eines anderen Kantons von der strafbaren Handlung Kenntnis erlangt, für deren Verfolgung und Beurteilung sie grundsätzlich zuständig ist, kann bei Offizialdelikten kei- nen Unterschied machen (SCHWERI/BÄNZIGER, a.a.O., N. 148, S. 49, mit Hin- weisen auf die Rechtsprechung). Da von den beiden örtlich zuständigen Kantonen demnach die ersten Verfolgungshandlungen aufgrund der auf Rechtshilfeersuchen hin durchgeführten Einvernahme von C. im Kanton Schwyz erfolgten, sind die Strafbehörden des Kantons Schwyz zur Verfol- gung und Beurteilung der C. zur Last gelegten Delikte zuständig.</w:t>
      </w:r>
    </w:p>
    <w:p>
      <w:r>
        <w:t>- 9 -</w:t>
      </w:r>
    </w:p>
    <w:p>
      <w:r>
        <w:rPr>
          <w:b/>
        </w:rPr>
        <w:t>E. 4</w:t>
      </w:r>
    </w:p>
    <w:p>
      <w:r>
        <w:t>Nach dem Gesagten sind die Strafbehörden des Kantons Schwyz zur Ver- folgung und Beurteilung der dem Beschuldigten zur Last gelegten Straftaten für zuständig zu erklären.</w:t>
      </w:r>
    </w:p>
    <w:p>
      <w:r>
        <w:rPr>
          <w:b/>
        </w:rPr>
        <w:t>E. 5</w:t>
      </w:r>
    </w:p>
    <w:p>
      <w:r>
        <w:t>Es sind keine Gerichtskosten zu erheben (Art. 423 Abs. 1 StPO).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