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BG.2018.59 vom 8. Februar 2019</w:t>
      </w:r>
    </w:p>
    <w:p>
      <w:r>
        <w:t>Bundesstrafgericht, 2019-02-08, DE</w:t>
      </w:r>
    </w:p>
    <w:p>
      <w:r>
        <w:rPr>
          <w:b/>
        </w:rPr>
        <w:t xml:space="preserve">Quelle: </w:t>
      </w:r>
      <w:r>
        <w:t>https://mcp.opencaselaw.ch/entscheid/bstger_BG.2018.59</w:t>
      </w:r>
    </w:p>
    <w:p>
      <w:r>
        <w:t>FR: TPF BG.2018.59 du 8 février 2019</w:t>
      </w:r>
    </w:p>
    <w:p>
      <w:r>
        <w:t>IT: TPF BG.2018.59 del 8 febbraio 2019</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Zuständigkeit der Behörden, Frist und Form, vgl. Beschluss des Bundesstrafgerichts BG.2017.3 vom 26. April 2017 E. 1.1) sind vorliegend erfüllt. Auf das Gesuch ist einzutreten.</w:t>
      </w:r>
    </w:p>
    <w:p>
      <w:r>
        <w:rPr>
          <w:b/>
        </w:rPr>
        <w:t>E. 2.1</w:t>
      </w:r>
    </w:p>
    <w:p>
      <w:r>
        <w:t>Vorliegend ist der Gerichtsstand des Vorfalles vom 31. Dezember 2015 strit- tig. Als Straftatbestand kommt zum einen Sachbeschädigung in Frage. Wer</w:t>
      </w:r>
    </w:p>
    <w:p>
      <w:r>
        <w:t>- 5 -</w:t>
      </w:r>
    </w:p>
    <w:p>
      <w:r>
        <w:t>eine Sache, an der ein fremdes Eigentums-, Gebrauchs- oder Nutznies- sungsrecht besteht, beschädigt, zerstört oder unbrauchbar macht, wird, auf Antrag, mit Freiheitsstrafe bis zu drei Jahren oder Geldstrafe bestraft (Art. 144 Abs. 1 StGB). Andererseits kommt ein mit Gefängnis als Höchst- strafe bedrohter Verstoss gegen das Chemikaliengesetz in Betracht, der Verletzung der Sorgfaltspflicht beim Umgang mit gefährlichen Stoffen oder Zubereitungen mit wissentlicher Gefährdung der Gesundheit anderer Men- schen (Art. 49 Abs. 3 lit. b des Bundesgesetzes vom 15. Dezember 2000 über den Schutz vor gefährlichen Stoffen und Zubereitungen; Chemikalien- gesetz, ChemG; SR 813.1).</w:t>
      </w:r>
    </w:p>
    <w:p>
      <w:r>
        <w:rPr>
          <w:b/>
        </w:rPr>
        <w:t>E. 2.2</w:t>
      </w:r>
    </w:p>
    <w:p>
      <w:r>
        <w:t>Die Staatsanwaltschaft des Kantons Basel-Landschaft lehnt ihre Zuständig- keit zum einen deshalb ab, da kein genügender Tatverdacht bestehe. Indes: Nach langjähriger Rechtsprechung bestimmt sich der Gerichtsstand "nicht nach dem, was der Täter begangen hat, sondern nach dem Tatbestand, der ihm vorgeworfen wird, d.h. aufgrund der Aktenlage überhaupt in Frage kommt" (BGE 71 IV 160 E. 1 S. 167). Der unter Beteiligung des Kantons Basel-Landschaft als Verfahrenspartei er- gangene Beschluss des Bundesstrafgerichts BG.2017.10 vom 5. Oktober 2017 (E. 2.2, 3.6) gibt die ständige Rechtsprechung der Beschwerdekammer des Bundesstrafgerichts wieder: Die Beurteilung der Gerichtsstandsfrage richtet sich nach der aktuellen Verdachtslage. Massgeblich ist nicht, was dem Beschuldigten letztlich nachgewiesen werden kann, sondern der Tatbe- stand, der Gegenstand der Untersuchung bildet, es sei denn, dieser erweise sich von vornherein als haltlos oder sei sicher ausgeschlossen. Der Gerichts- stand bestimmt sich also nicht nach dem, was der Täter begangen hat, son- dern nach dem, was ihm vorgeworfen wird, das heisst, was aufgrund der Aktenlage überhaupt in Frage kommt. Dabei stützt sich die Beschwerdekam- mer auf Fakten, nicht auf Hypothesen. Im Zweifelsfall ist auf den für den Be- schuldigten ungünstigeren Sachverhalt abzustellen bzw. das schwerere De- likt anzunehmen ("in dubio pro duriore", BGE 138 IV 186 E. 4.1). Der vorliegende Sachverhalt ist offensichtlich strafrechtlich abzuklären. Während die Person des Täters nicht gewiss ist, muss für die Bestimmung des Gerichtsstands in dubio pro duriore von einem hinreichenden Tatver- dacht in Bezug auf eine Aktivität von F. im Kostüm "Weisser Affe" ausgegan- gen werden (vgl. die Auflistung der Verdachtsmomente in act. 1 S. 3 f.). Ab- gesehen davon müsste selbst eine Einstellung durch die zuständige Straf- behörde erfolgen. Dass ihr Verfahren wegen Verstosses gegen das Betäu- bungsmittelgesetz die schwerere Straftat darstellt, bestreitet der Kanton Ba- sel-Landschaft nicht, was nach Art. 34 Abs. 1 StPO an sich zu seiner Zu- ständigkeit führen würde.</w:t>
      </w:r>
    </w:p>
    <w:p>
      <w:r>
        <w:t>- 6 -</w:t>
      </w:r>
    </w:p>
    <w:p>
      <w:r>
        <w:rPr>
          <w:b/>
        </w:rPr>
        <w:t>E. 2.3</w:t>
      </w:r>
    </w:p>
    <w:p>
      <w:r>
        <w:t>Der Kanton Basel-Landschaft weist jedoch auf das Untätigsein der Staats- anwaltschaft Basel-Stadt hin (act. 4 S. 3). Sie hat zunächst korrekterweise trotz angekündigter Einstellung vom 28. September 2016 aufgrund der Ver- dachtsmomente das Verfahren weitergeführt. Der Kanton Basel-Stadt bringt zum Verfahrensgang zusammengefasst vor, zwischen September 2016 und November 2018 Akten gesichtet und geprüft sowie eine Person einvernom- men zu haben (vgl. obige Erwägung E zu den Vorbringen im Einzelnen). Diese Tätigkeiten haben im Jahr 2017 keine Spuren in den vorgelegten Ak- ten hinterlassen. Glaubwürdig und unwidersprochen geblieben sind die Wie- dergaben der Verteidigung in den Schreiben vom 23. November 2017 und 1. März 2018, wonach die fallführende Staatsanwältin sich als überlastet be- zeichnete. Letzteres Argument wäre für die Gerichtsstandsbestimmung irre- levant. Es ist Sache des Kantons, die entsprechenden Entlastungsmassnah- men zu treffen, damit das Beschleunigungsgebot nicht verletzt wird (BGE 130 I 312 E. 5.2; 107 Ib 160 E. 3c S. 165; Urteil des Bundesgerichts 4A_321/2018 vom 25. Juli 2018 E. 2). Die Vorbringen der Staatsanwalt- schaft Basel-Stadt sind nicht nachvollziehbar (vgl. obige Litera F mit der Chronik der einzelnen Verfahrenshandlungen).</w:t>
      </w:r>
    </w:p>
    <w:p>
      <w:r>
        <w:rPr>
          <w:b/>
        </w:rPr>
        <w:t>E. 2.4</w:t>
      </w:r>
    </w:p>
    <w:p>
      <w:r>
        <w:t>Ein Grund für ein Abweichen vom gesetzlichen Gerichtsstand kann in der konkludenten Anerkennung des Gerichtsstands durch einen Kanton liegen. Eine solche darf nicht leichthin angenommen werden. Nach dem Eingang einer Strafanzeige haben die Strafverfolgungsbehörden von Amtes wegen zu prüfen, ob ihre örtliche Zuständigkeit und damit die Gerichtsbarkeit ihres Kantons gegeben ist. Diese Prüfung muss summarisch und beschleunigt er- folgen, um Verzögerungen des Verfahrens zu vermeiden. Die mit der Prü- fung befasste Behörde muss alle für die Festlegung des Gerichtsstandes wesentlichen Tatsachen erforschen, die dazu notwendigen Erhebungen durchführen und insbesondere den Ausführungsort ermitteln. Hat der Be- schuldigte in mehreren Kantonen delinquiert, so hat jeder Kanton vorerst die Ermittlungen voranzutreiben, die für die Bestimmung des Gerichtsstandes wesentlich sind. Beschränkt sich ein Kanton nicht darauf, sondern nimmt er während längerer Zeit weitere Ermittlungen vor, obwohl längst Anlass be- stand, die eigene Zuständigkeit abzuklären, so kann darin eine konkludente Anerkennung erblickt werden (BGE 119 IV 102 E. 4b; SCHWERI/BÄNZIGER, Interkantonale Gerichtsstandsbestimmung in Strafsachen, 2. Aufl. 2004, N. 443). Beschränkt sich die Behörde dagegen im Wesentlichen auf die Ab- klärung von Tatsachen, die für die Bestimmung des Gerichtsstandes von Be- deutung sind oder führt eine Behörde während der Abklärung der Gerichts- standsfrage die Strafuntersuchung mit der gebotenen Beschleunigung wei- ter, so kann darin keine konkludente Anerkennung des Gerichtsstandes ge- sehen werden (SCHWERI/BÄNZIGER, a.a.O., N. 443). Ein viermonatiges Un- tätigbleiben der mit der Sache befassten Behörde des einen Kantons nach</w:t>
      </w:r>
    </w:p>
    <w:p>
      <w:r>
        <w:t>- 7 -</w:t>
      </w:r>
    </w:p>
    <w:p>
      <w:r>
        <w:t>der Ablehnung eines Verfahrensübernahmegesuchs durch die angefragte Behörde des anderen Kantons kann unter dem Aspekt von Treu und Glau- ben bereits als konkludente Anerkennung des Gerichtsstandes durch die über einen zu langen Zeitraum untätig bleibende Behörde eingestuft werden (TPF 2011 178 E. 3.2).</w:t>
      </w:r>
    </w:p>
    <w:p>
      <w:r>
        <w:rPr>
          <w:b/>
        </w:rPr>
        <w:t>E. 2.5</w:t>
      </w:r>
    </w:p>
    <w:p>
      <w:r>
        <w:t>Der Kanton Basel-Landschaft lehnte am 1. Februar 2016 eine Übernahme des Strafverfahrens wegen Sachbeschädigung etc. zum ersten Mal ab, was der Kanton Basel-Stadt akzeptierte. Der Kanton Basel-Stadt trieb die Unter- suchung danach gut einen Monat lang voran. Hernach erlahmte der Verfah- rensgang, die Staatsanwaltschaft Basel-Stadt beliess das Verfahren an Ort. Von September bis Dezember 2016 war das Verfahren in Richtung Einstel- lung unterwegs, um alsdann wieder "festzusitzen". Nach einem Schub von Untersuchungshandlungen im Februar/März 2018, mit Einholung des zwei- ten Strafregisterauszugs, blieb das Verfahren bis am 16. November 2018 (Datum des vierseitigen "Schlussberichts") wiederum ohne ersichtliche Fort- schritte. Damit gilt, dass der Kanton Basel-Stadt seine Zuständigkeit konklu- dent anerkannt hat. Liegt das geschädigte Restaurant B. in der Stadt Basel, so ist dort auch ein örtlicher Anknüpfungspunkt vorhanden. Der Kanton Ba- sel-Stadt ist mithin berechtigt und verpflichtet, die im Lokal der D. GmbH (Restaurant B.) begangenen strafbaren Handlungen zu verfolgen und zu be- urteilen.</w:t>
      </w:r>
    </w:p>
    <w:p>
      <w:r>
        <w:rPr>
          <w:b/>
        </w:rPr>
        <w:t>E. 3</w:t>
      </w:r>
    </w:p>
    <w:p>
      <w:r>
        <w:t>Es sind keine Gerichtskosten zu erheben (vgl.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