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BG.2018.56 vom 13. Dezember 2018</w:t>
      </w:r>
    </w:p>
    <w:p>
      <w:r>
        <w:t>Bundesstrafgericht, 2018-12-13, DE</w:t>
      </w:r>
    </w:p>
    <w:p>
      <w:r>
        <w:rPr>
          <w:b/>
        </w:rPr>
        <w:t xml:space="preserve">Quelle: </w:t>
      </w:r>
      <w:r>
        <w:t>https://mcp.opencaselaw.ch/entscheid/bstger_BG.2018.56</w:t>
      </w:r>
    </w:p>
    <w:p>
      <w:r>
        <w:t>FR: TPF BG.2018.56 du 13 décembre 2018</w:t>
      </w:r>
    </w:p>
    <w:p>
      <w:r>
        <w:t>IT: TPF BG.2018.56 del 13 dicembre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gegeben zu keinen Bemerkungen Anlass.</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Ist eine Straftat von mehreren Mittätern ver- übt worden, so sind die Behörden des Ortes zuständig, an dem zuerst Ver- folgungshandlungen vorgenommen worden sind (Art. 33 Abs. 2 StPO). Hat ein Mittäter ausser den in Mittäterschaft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Untersuchungshandlungen bildeten (vgl. hierzu den Beschluss des Bundesstrafgerichts BG.2011.49 vom 19. Januar 2012, E. 2.1; siehe auch MOSER, Basler Kommentar, Basel 2011, Art. 33 StPO N. 13).</w:t>
      </w:r>
    </w:p>
    <w:p>
      <w:r>
        <w:rPr>
          <w:b/>
        </w:rPr>
        <w:t>E. 2.2</w:t>
      </w:r>
    </w:p>
    <w:p>
      <w:r>
        <w:t>Nach bundesgerichtlicher Rechtsprechung ist Mittäter, wer bei der Ent- schliessung, Planung oder Ausführung eines Deliktes vorsätzlich und in mas- sgebender Weise mit anderen Tätern zusammenwirkt, so dass er als Haupt- 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 täterschaft ist dabei jede arbeitsteilige, für den Erfolg wesentliche Mitwirkung im Ausführungsstadium (BGE 120 IV 17 E. 2d S. 23; 118 IV 397 E. 2b S. 400).</w:t>
      </w:r>
    </w:p>
    <w:p>
      <w:r>
        <w:t>- 4 -</w:t>
      </w:r>
    </w:p>
    <w:p>
      <w:r>
        <w:rPr>
          <w:b/>
        </w:rPr>
        <w:t>E. 2.3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a.a.O., Art. 34 StPO N. 11; GUIDON/BÄNZIGER, Die aktuelle Recht- sprechung des Bundesstrafgerichts zum interkantonalen Gerichtsstand in Strafsachen, Jusletter 21. Mai 2007, [Rz 25] m.w.H.; vgl. nebst anderen den Entscheid des Bundesstrafgerichts BG.2010.12 vom 8. September 2010, E. 2.2 m.w.H.). Es gilt der Grundsatz „in dubio pro duriore“, wonach im Zwei- felsfall auf den für den Beschuldigten ungünstigeren Sachverhalt abzustellen bzw. das schwerere Delikt anzunehmen ist (GUIDON/BÄNZIGER, a.a.O., [Rz 42] m.w.H.).</w:t>
      </w:r>
    </w:p>
    <w:p>
      <w:r>
        <w:rPr>
          <w:b/>
        </w:rPr>
        <w:t>E. 2.4</w:t>
      </w:r>
    </w:p>
    <w:p>
      <w:r>
        <w:t>Der Gesuchsgegner bestreitet nicht, dass die ersten Verfolgungshandlungen gegen A. im Kanton Neuenburg vorgenommen worden sind und daher ge- stützt auf die Art. 31 ff. StPO formell dieser Kanton für die Verfolgung Beur- teilung der von A., B., C. und D. im Kanton Aargau verübten Straftaten zu- ständig wäre (act. 3 S. 2). Der Gesuchsgegner ist jedoch der Ansicht, dass vorliegend triftige Gründe für ein Abweichen vom gesetzlichen Gerichtsstand gegeben seien und der Kanton Neuenburg lediglich für die Verfolgung und Beurteilung der von A. verübten Straftaten zuständig zu erklären sei. So sei die Strafuntersuchung im Kanton Neuenburg im Verfahren gegen A. noch nicht abgeschlossen; sämtliche Verfahrenshandlungen seien zudem in fran- zösischer Sprache durchgeführt worden. Demgegenüber sei die Untersu- chung im Kanton Aargau praktisch abgeschlossen und in deutscher Sprache durchgeführt worden. Die Beschuldigten im Kanton Aargau würden zudem allesamt von Verteidigern der Region vertreten. Ausserdem handle es sich bei der Tätergruppe, die im Kanton Aargau tätig gewesen sei, nicht um die- selbe, die im Kanton Neuenburg den Einbruchsdiebstahl begangen habe. Schliesslich sei sodann fraglich, ob die Täter im Kanton Aargau überhaupt als Mittäter fungiert hätten. Im Zweifel sei davon auszugehen, dass die Täter unabhängig voneinander gehandelt hätten (act. 3 S. 1 f.).</w:t>
      </w:r>
    </w:p>
    <w:p>
      <w:r>
        <w:rPr>
          <w:b/>
        </w:rPr>
        <w:t>E. 2.5</w:t>
      </w:r>
    </w:p>
    <w:p>
      <w:r>
        <w:t>Die Beschwerdekammer (wie auch die beteiligten Staatsanwaltschaften un- tereinander, Art. 38 Abs. 1 StPO) kann einen anderen als den in den Arti- keln 31–37 StPO vorgesehenen Gerichtsstand festlegen, wenn der Schwer- punkt der deliktischen Tätigkeit oder die persönlichen Verhältnisse der beschuldigten Person es erfordern oder andere triftige Gründe vorliegen</w:t>
      </w:r>
    </w:p>
    <w:p>
      <w:r>
        <w:t>- 5 -</w:t>
      </w:r>
    </w:p>
    <w:p>
      <w:r>
        <w:t>(Art. 40 Abs. 3 StPO; SCHWERI/BÄNZIGER, Interkantonale Gerichtsstandsbe- stimmung in Strafsachen, 2. Aufl., Bern 2004, N. 432 ff., 434 f.; FINGER- HUTH/LIEBER, Kommentar zur Schweizerischen Strafprozessordnung, Zü- rich 2010, Art. 40 N. 15–17). Der Schwerpunkt der Delinquenz im Sinne von Art. 38 Abs. 1 StPO liegt dort, wo mehr als zwei Drittel einer grösseren An- zahl von Delikten an einem bestimmten Ort begangen wurden (Siehe z.B. Beschluss der Beschwerdekammer BG.2011.5 vom. 1. Juni 2011, E. 3.2); liegt bloss eine mittlere Anzahl von Delikten vor, wird vom gesetzlichen Ge- richtsstand nicht abgewichen (Beschluss der Beschwerdekammer BG.2012.15 vom 23. Mai 2012, E. 3.1). Bei den in dieser Bestimmung er- wähnten persönlichen Gründen handelt es sich um prozessökonomische Gründe sowie Zweckmässigkeitsüberlegungen (MOSER/SCHLAPBACH, BSK, Art. 38 N 9). Als sonstige triftige Gründe gelten insbesondere die konkludente Anerkennung der Zuständigkeit durch einen der beteiligten Kantone, z. B. durch eine langhaltige Untätigkeit der Behörde eines Kantons nach der Ab- lehnung eines Verfahrensübernahmegesuchs durch die angefragte Behörde des anderen Kantons (Beschluss der Beschwerdekammer BG.2011.34 vom 18. Oktober 2011, E. 3.2; BG. 2011.35 vom 26. Oktober 2011, E. 3.2).</w:t>
      </w:r>
    </w:p>
    <w:p>
      <w:r>
        <w:rPr>
          <w:b/>
        </w:rPr>
        <w:t>E. 2.6</w:t>
      </w:r>
    </w:p>
    <w:p>
      <w:r>
        <w:t>Vorliegend ist vorab festzuhalten, dass gestützt auf die Aktenlage und ent- gegen der Ansicht des Gesuchsgegners ohne Weiteres davon auszugehen ist, die Beschuldigten A., B., C. und D. hätten den Einbruchsdiebstahl im Kanton Aargau in Mittäterschaft verübt. Anlässlich der polizeilichen Einver- nahme von A. vom 2. Oktober 2018 sagte dieser aus, die Beschuldigten hät- ten die Idee, den Einbruch zu verüben, gleichzeitig gehabt und sie seien zu- sammen eingebrochen. Auch C. gab anlässlich der polizeilichen Befragung vom 4. Oktober 2018 zu Protokoll, sei seien zu dritt – nämlich er, A. und D. – eingebrochen, während C. draussen geblieben sei. Vorgängig hätten er und D. den Sensor im Fachmarkt abgeklebt (Verfahrensakten Kanton Aar- gau, Ordner 1, Lasche 3). Diese Aussagen schliessen die Annahme, die Be- schuldigten hätten unabhängig voneinander gehandelt, geradezu aus. Trif- tige Gründe – wie sprachliche oder Gründe der Verfahrenseffizienz –, die eine getrennte Verfolgung und Beurteilung der Mittäter A., B., C. und D. und damit ein Abweichen vom gesetzlichen Gerichtstand rechtfertigen würden, liegen nicht vor. Der Umstand, dass im Kanton Neuenburg das Verfahren auf Französisch durchgeführt wird, dürfte für die Beschuldigten selber kaum von Bedeutung sein, zumal sie bereits im Verfahren vor den aargauischen Be- hörden eines Übersetzers bedurften. Von den Strafverfolgungsbehörden des Kantons Neuenburg darf sodann erwartet werden, dass sie zumindest über ausreichende passive Kenntnisse der deutschen Sprache verfügen. Hinzu kommt, dass die Untersuchungsbehörden des Kantons Aargau das Unter- suchungsverfahren, wie der Gesuchsgegner selbst ausführt, zum grössten</w:t>
      </w:r>
    </w:p>
    <w:p>
      <w:r>
        <w:t>- 6 -</w:t>
      </w:r>
    </w:p>
    <w:p>
      <w:r>
        <w:t>Teil abgeschlossen hat. Ein substantieller Effizienzverlust ergibt sich mit der Behandlung der Angelegenheit durch die Neuenburger Behörden damit ge- rade nicht.</w:t>
      </w:r>
    </w:p>
    <w:p>
      <w:r>
        <w:rPr>
          <w:b/>
        </w:rPr>
        <w:t>E. 3</w:t>
      </w:r>
    </w:p>
    <w:p>
      <w:r>
        <w:t>Damit sind gestützt auf Art. 33 Abs. 2 und 34 Abs. 1 StPO die Strafverfol- gungsbehörden des Gesuchsgegners für berechtigt und verpflichtet zu er- klären, die A., B., C. und D. zur Last gelegten Delikte zu verfolgen und zu beurteilen. Das Gesuch erweist sich daher als begründet.</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