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BG.2018.40 vom 21. Dezember 2018</w:t>
      </w:r>
    </w:p>
    <w:p>
      <w:r>
        <w:t>Bundesstrafgericht, 2018-12-21, DE</w:t>
      </w:r>
    </w:p>
    <w:p>
      <w:r>
        <w:rPr>
          <w:b/>
        </w:rPr>
        <w:t xml:space="preserve">Quelle: </w:t>
      </w:r>
      <w:r>
        <w:t>https://mcp.opencaselaw.ch/entscheid/bstger_BG.2018.40</w:t>
      </w:r>
    </w:p>
    <w:p>
      <w:r>
        <w:t>FR: TPF BG.2018.40 du 21 décembre 2018</w:t>
      </w:r>
    </w:p>
    <w:p>
      <w:r>
        <w:t>IT: TPF BG.2018.40 del 21 dicembre 2018</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sog. Überweisungsverfahren). Die mit dem Antrag befasste Behörde hat – so dies nicht bereits geschehen ist – einen Meinungsaustausch im Sinne von Art. 39 Abs. 2 StPO einzuleiten oder direkt durch Verfügung ihre eigene Zuständig- keit zu bestätigen (Beschlüsse des Bundesstrafgerichts BG.2012.42 vom 23. Januar 2013 E. 1.1; BG.2012.2 vom 16. März 2012 E. 1.1). 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rPr>
          <w:b/>
        </w:rPr>
        <w:t>E. 1.2</w:t>
      </w:r>
    </w:p>
    <w:p>
      <w:r>
        <w:t>Der Beschwerdeführer hat seit dem kürzlich ergangenen Beschluss des Bundesstrafgerichts BG.2018.3 vom 12. Juli 2018 E. 2 Kenntnis von der soeben dargestellten Rechtslage. Es muss ihm daher auch als juristischem Laien klar gewesen sein, dass zunächst das Überweisungsverfahren durch- zuführen gewesen wäre. Hat er sich dennoch dafür entschieden, die Be- schwerde am 5. Oktober 2018 direkt beim Gericht zu erheben, so kann er nicht in guten Treuen eine Verletzung seines rechtlichen Gehörs durch Un- terlassung des Überweisungsverfahrens rügen. Vorliegend hat der Kanton Solothurn, soweit der Beschwerdekammer be- kannt, bereits mindestens fünf Verfahren vom Kanton Bern übernommen. Geht es beim vorliegenden Verfahren ebenfalls um Betrug gestützt auf einen sehr ähnlichen Sachverhalt, so erwiese sich eine Rückweisung zwecks Durchführung des Überweisungsverfahrens als leere Formalität. Sie ent- spräche sodann auch nicht einem Antrag des Beschwerdeführers. Von einer Rückweisung ist daher vorliegend abzusehen.</w:t>
      </w:r>
    </w:p>
    <w:p>
      <w:r>
        <w:rPr>
          <w:b/>
        </w:rPr>
        <w:t>E. 1.3</w:t>
      </w:r>
    </w:p>
    <w:p>
      <w:r>
        <w:t>Der Beschwerdeführer ist als Beschuldigter der Strafuntersuchung Partei (vgl. Art. 104 Abs. 1 lit. a StPO) und als solche zur Einreichung einer Be- schwerde gegen eine Gerichtsstandsverfügung legitimiert (Art. 41 Abs. 2 StPO). Die übrigen Eintretensvoraussetzungen geben zu keinen Ausführun- gen Anlass. Auf die Beschwerde ist einzutreten.</w:t>
      </w:r>
    </w:p>
    <w:p>
      <w:r>
        <w:t>- 4 -</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Verfolgungshandlungen stellen z.B. die Ent- gegennahme einer Strafanzeige oder die Eröffnung einer Strafuntersuchung dar (BAUMGARTNER, Die Zuständigkeit im Strafverfahren, 2014, S. 171 ff.).</w:t>
      </w:r>
    </w:p>
    <w:p>
      <w:r>
        <w:rPr>
          <w:b/>
        </w:rPr>
        <w:t>E. 2.2</w:t>
      </w:r>
    </w:p>
    <w:p>
      <w:r>
        <w:t>Sowohl beim Berner Verfahren als auch beim Solothurner Verfahren geht es um Betrug (Art. 146 StGB, Freiheitsstrafe bis zu fünf Jahren). Der Kanton Solothurn eröffnete sein Verfahren am 11. Dezember 2013. Es wurde am 9. Januar 2014 im Strafregister eingetragen (Auszug vom 21. Januar 2016, vgl. Beschluss des Bundesstrafgerichts BG.2018.3 vom 12. Juli 2018 E. 3.2). Das Strafverfahren im Kanton Solothurn wurde damit klar vor dem Berner Verfahren eröffnet. Das übernommene Verfahren betrifft Handlungen ab dem Frühjahr 2017. Damit wird das übernommene Berner Verfahren im Kan- ton Solothurn am ordentlichen Gerichtsstand der ersten Verfolgungshand- lungen geführt (Art. 34 Abs. 1 StPO, sog. forum praeventionis).</w:t>
      </w:r>
    </w:p>
    <w:p>
      <w:r>
        <w:rPr>
          <w:b/>
        </w:rPr>
        <w:t>E. 2.3</w:t>
      </w:r>
    </w:p>
    <w:p>
      <w:r>
        <w:t>Weder die Vorbringen des Beschwerdeführers (vgl. obige litera B), noch ein Schwerpunkt der deliktischen Tätigkeit oder soweit erkennbar seine persön- lichen Verhältnisse rechtfertigen im Sinne von Art. 40 Abs. 3 StPO ein Ab- weichen vom ordentlichen Gerichtsstand. Ebenso wenig sind dafür andere triftige Gründe erkennbar. Damit gehen die Rügen des Beschwerdeführers gegen die Übernahmeverfügung vom 25. September 2018 der Staatsanwalt- schaft Solothurn offensichtlich fehl. Die Beschwerde ist somit abzuweisen.</w:t>
      </w:r>
    </w:p>
    <w:p>
      <w:r>
        <w:rPr>
          <w:b/>
        </w:rPr>
        <w:t>E. 3</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